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hint="default" w:ascii="Times New Roman" w:hAnsi="Times New Roman" w:eastAsia="Times New Roman" w:cs="Times New Roman"/>
          <w:b/>
          <w:bCs/>
          <w:sz w:val="44"/>
          <w:szCs w:val="44"/>
          <w:lang w:val="zh-TW" w:eastAsia="zh-TW"/>
        </w:rPr>
      </w:pPr>
      <w:r>
        <w:rPr>
          <w:rFonts w:ascii="宋体" w:hAnsi="宋体" w:cs="宋体"/>
          <w:b/>
          <w:bCs/>
          <w:sz w:val="44"/>
          <w:szCs w:val="44"/>
          <w:lang w:val="zh-TW" w:eastAsia="zh-TW"/>
        </w:rPr>
        <w:t>长沙</w:t>
      </w:r>
      <w:r>
        <w:rPr>
          <w:rFonts w:hint="eastAsia" w:ascii="宋体" w:hAnsi="宋体" w:cs="宋体"/>
          <w:b/>
          <w:bCs/>
          <w:sz w:val="44"/>
          <w:szCs w:val="44"/>
          <w:lang w:val="en-US" w:eastAsia="zh-CN"/>
        </w:rPr>
        <w:t>市</w:t>
      </w:r>
      <w:r>
        <w:rPr>
          <w:rFonts w:ascii="宋体" w:hAnsi="宋体" w:cs="宋体"/>
          <w:b/>
          <w:bCs/>
          <w:sz w:val="44"/>
          <w:szCs w:val="44"/>
        </w:rPr>
        <w:t>国土</w:t>
      </w:r>
      <w:r>
        <w:rPr>
          <w:rFonts w:ascii="宋体" w:hAnsi="宋体" w:cs="宋体"/>
          <w:b/>
          <w:bCs/>
          <w:sz w:val="44"/>
          <w:szCs w:val="44"/>
          <w:lang w:val="zh-TW" w:eastAsia="zh-TW"/>
        </w:rPr>
        <w:t>资源网上交易系统</w:t>
      </w:r>
    </w:p>
    <w:p>
      <w:pPr>
        <w:pStyle w:val="20"/>
        <w:shd w:val="clear"/>
        <w:spacing w:before="240" w:line="360" w:lineRule="auto"/>
        <w:jc w:val="center"/>
        <w:rPr>
          <w:rFonts w:ascii="宋体" w:hAnsi="宋体" w:cs="宋体"/>
          <w:b/>
          <w:bCs/>
          <w:sz w:val="44"/>
          <w:szCs w:val="44"/>
          <w:lang w:val="zh-TW" w:eastAsia="zh-TW"/>
        </w:rPr>
      </w:pPr>
      <w:r>
        <w:rPr>
          <w:rFonts w:hint="eastAsia" w:ascii="宋体" w:hAnsi="宋体" w:cs="宋体"/>
          <w:b/>
          <w:bCs/>
          <w:sz w:val="44"/>
          <w:szCs w:val="44"/>
          <w:lang w:val="en-US" w:eastAsia="zh-CN"/>
        </w:rPr>
        <w:t>土地竞买操作</w:t>
      </w:r>
      <w:r>
        <w:rPr>
          <w:rFonts w:ascii="宋体" w:hAnsi="宋体" w:cs="宋体"/>
          <w:b/>
          <w:bCs/>
          <w:sz w:val="44"/>
          <w:szCs w:val="44"/>
          <w:lang w:val="zh-TW" w:eastAsia="zh-TW"/>
        </w:rPr>
        <w:t>指南</w:t>
      </w:r>
    </w:p>
    <w:p>
      <w:pPr>
        <w:pStyle w:val="20"/>
        <w:shd w:val="clear"/>
        <w:spacing w:before="240" w:line="360" w:lineRule="auto"/>
        <w:jc w:val="center"/>
        <w:rPr>
          <w:rFonts w:hint="eastAsia" w:ascii="宋体" w:hAnsi="宋体" w:cs="宋体"/>
          <w:b/>
          <w:bCs/>
          <w:sz w:val="32"/>
          <w:szCs w:val="32"/>
          <w:lang w:val="zh-TW" w:eastAsia="zh-CN"/>
        </w:rPr>
      </w:pPr>
      <w:r>
        <w:rPr>
          <w:rFonts w:hint="eastAsia" w:ascii="宋体" w:hAnsi="宋体" w:cs="宋体"/>
          <w:b/>
          <w:bCs/>
          <w:sz w:val="32"/>
          <w:szCs w:val="32"/>
          <w:lang w:val="zh-TW" w:eastAsia="zh-CN"/>
        </w:rPr>
        <w:t>（</w:t>
      </w:r>
      <w:r>
        <w:rPr>
          <w:rFonts w:hint="eastAsia" w:ascii="宋体" w:hAnsi="宋体" w:cs="宋体"/>
          <w:b/>
          <w:bCs/>
          <w:sz w:val="32"/>
          <w:szCs w:val="32"/>
          <w:lang w:val="en-US" w:eastAsia="zh-CN"/>
        </w:rPr>
        <w:t>普通地块</w:t>
      </w:r>
      <w:r>
        <w:rPr>
          <w:rFonts w:hint="eastAsia" w:ascii="宋体" w:hAnsi="宋体" w:cs="宋体"/>
          <w:b/>
          <w:bCs/>
          <w:sz w:val="32"/>
          <w:szCs w:val="32"/>
          <w:lang w:val="zh-TW" w:eastAsia="zh-CN"/>
        </w:rPr>
        <w:t>）</w:t>
      </w:r>
    </w:p>
    <w:p>
      <w:pPr>
        <w:pStyle w:val="20"/>
        <w:shd w:val="clear"/>
        <w:spacing w:before="240" w:line="360" w:lineRule="auto"/>
        <w:jc w:val="center"/>
        <w:rPr>
          <w:rFonts w:hint="default" w:ascii="宋体" w:hAnsi="宋体" w:cs="宋体"/>
          <w:b/>
          <w:bCs/>
          <w:sz w:val="52"/>
          <w:szCs w:val="52"/>
          <w:lang w:val="en-US" w:eastAsia="zh-CN"/>
        </w:rPr>
      </w:pPr>
      <w:r>
        <w:rPr>
          <w:rFonts w:hint="eastAsia" w:ascii="宋体" w:hAnsi="宋体" w:cs="宋体"/>
          <w:b/>
          <w:bCs/>
          <w:sz w:val="32"/>
          <w:szCs w:val="32"/>
          <w:lang w:val="zh-TW" w:eastAsia="zh-CN"/>
        </w:rPr>
        <w:br w:type="column"/>
      </w:r>
    </w:p>
    <w:sdt>
      <w:sdtPr>
        <w:rPr>
          <w:rFonts w:hint="eastAsia" w:ascii="黑体" w:hAnsi="黑体" w:eastAsia="黑体" w:cs="黑体"/>
          <w:b/>
          <w:bCs/>
          <w:kern w:val="2"/>
          <w:sz w:val="36"/>
          <w:szCs w:val="40"/>
          <w:lang w:val="en-US" w:eastAsia="zh-CN" w:bidi="ar-SA"/>
        </w:rPr>
        <w:id w:val="147474799"/>
        <w15:color w:val="DBDBDB"/>
        <w:docPartObj>
          <w:docPartGallery w:val="Table of Contents"/>
          <w:docPartUnique/>
        </w:docPartObj>
      </w:sdtPr>
      <w:sdtEndPr>
        <w:rPr>
          <w:rFonts w:hint="eastAsia" w:ascii="宋体" w:hAnsi="宋体" w:eastAsia="宋体" w:cs="宋体"/>
          <w:b/>
          <w:bCs/>
          <w:color w:val="000000"/>
          <w:kern w:val="2"/>
          <w:sz w:val="21"/>
          <w:szCs w:val="32"/>
          <w:u w:color="000000"/>
          <w:lang w:val="zh-TW"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36"/>
              <w:szCs w:val="40"/>
            </w:rPr>
          </w:pPr>
          <w:r>
            <w:rPr>
              <w:rFonts w:hint="eastAsia" w:ascii="黑体" w:hAnsi="黑体" w:eastAsia="黑体" w:cs="黑体"/>
              <w:b/>
              <w:bCs/>
              <w:sz w:val="36"/>
              <w:szCs w:val="40"/>
            </w:rPr>
            <w:t>目录</w:t>
          </w:r>
        </w:p>
        <w:p>
          <w:pPr>
            <w:pStyle w:val="21"/>
            <w:tabs>
              <w:tab w:val="right" w:leader="dot" w:pos="8306"/>
            </w:tabs>
            <w:rPr>
              <w:b/>
            </w:rPr>
          </w:pPr>
          <w:r>
            <w:rPr>
              <w:rFonts w:hint="eastAsia" w:ascii="宋体" w:hAnsi="宋体" w:cs="宋体"/>
              <w:b/>
              <w:bCs/>
              <w:sz w:val="32"/>
              <w:szCs w:val="32"/>
              <w:lang w:val="zh-TW" w:eastAsia="zh-CN"/>
            </w:rPr>
            <w:fldChar w:fldCharType="begin"/>
          </w:r>
          <w:r>
            <w:rPr>
              <w:rFonts w:hint="eastAsia" w:ascii="宋体" w:hAnsi="宋体" w:cs="宋体"/>
              <w:b/>
              <w:bCs/>
              <w:sz w:val="32"/>
              <w:szCs w:val="32"/>
              <w:lang w:val="zh-TW" w:eastAsia="zh-CN"/>
            </w:rPr>
            <w:instrText xml:space="preserve">TOC \o "1-2" \h \u </w:instrText>
          </w:r>
          <w:r>
            <w:rPr>
              <w:rFonts w:hint="eastAsia" w:ascii="宋体" w:hAnsi="宋体" w:cs="宋体"/>
              <w:b/>
              <w:bCs/>
              <w:sz w:val="32"/>
              <w:szCs w:val="32"/>
              <w:lang w:val="zh-TW" w:eastAsia="zh-CN"/>
            </w:rPr>
            <w:fldChar w:fldCharType="separate"/>
          </w: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_Toc30530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1. </w:t>
          </w:r>
          <w:r>
            <w:rPr>
              <w:rFonts w:hint="eastAsia" w:ascii="微软雅黑" w:hAnsi="微软雅黑" w:eastAsia="微软雅黑" w:cs="微软雅黑"/>
              <w:b/>
              <w:szCs w:val="27"/>
            </w:rPr>
            <w:t>资源浏览</w:t>
          </w:r>
          <w:r>
            <w:rPr>
              <w:b/>
            </w:rPr>
            <w:tab/>
          </w:r>
          <w:r>
            <w:rPr>
              <w:b/>
            </w:rPr>
            <w:fldChar w:fldCharType="begin"/>
          </w:r>
          <w:r>
            <w:rPr>
              <w:b/>
            </w:rPr>
            <w:instrText xml:space="preserve"> PAGEREF _Toc30530 </w:instrText>
          </w:r>
          <w:r>
            <w:rPr>
              <w:b/>
            </w:rPr>
            <w:fldChar w:fldCharType="separate"/>
          </w:r>
          <w:r>
            <w:rPr>
              <w:b/>
            </w:rPr>
            <w:t>1</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_Toc329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2. </w:t>
          </w:r>
          <w:r>
            <w:rPr>
              <w:rFonts w:hint="eastAsia" w:ascii="微软雅黑" w:hAnsi="微软雅黑" w:eastAsia="微软雅黑" w:cs="微软雅黑"/>
              <w:b/>
              <w:szCs w:val="27"/>
            </w:rPr>
            <w:t>证书申请</w:t>
          </w:r>
          <w:r>
            <w:rPr>
              <w:b/>
            </w:rPr>
            <w:tab/>
          </w:r>
          <w:r>
            <w:rPr>
              <w:b/>
            </w:rPr>
            <w:fldChar w:fldCharType="begin"/>
          </w:r>
          <w:r>
            <w:rPr>
              <w:b/>
            </w:rPr>
            <w:instrText xml:space="preserve"> PAGEREF _Toc329 </w:instrText>
          </w:r>
          <w:r>
            <w:rPr>
              <w:b/>
            </w:rPr>
            <w:fldChar w:fldCharType="separate"/>
          </w:r>
          <w:r>
            <w:rPr>
              <w:b/>
            </w:rPr>
            <w:t>3</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_Toc20304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3. </w:t>
          </w:r>
          <w:r>
            <w:rPr>
              <w:rFonts w:hint="eastAsia" w:ascii="微软雅黑" w:hAnsi="微软雅黑" w:eastAsia="微软雅黑" w:cs="微软雅黑"/>
              <w:b/>
              <w:szCs w:val="27"/>
            </w:rPr>
            <w:t>竞买申请</w:t>
          </w:r>
          <w:r>
            <w:rPr>
              <w:b/>
            </w:rPr>
            <w:tab/>
          </w:r>
          <w:r>
            <w:rPr>
              <w:b/>
            </w:rPr>
            <w:fldChar w:fldCharType="begin"/>
          </w:r>
          <w:r>
            <w:rPr>
              <w:b/>
            </w:rPr>
            <w:instrText xml:space="preserve"> PAGEREF _Toc20304 </w:instrText>
          </w:r>
          <w:r>
            <w:rPr>
              <w:b/>
            </w:rPr>
            <w:fldChar w:fldCharType="separate"/>
          </w:r>
          <w:r>
            <w:rPr>
              <w:b/>
            </w:rPr>
            <w:t>4</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_Toc9685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4. </w:t>
          </w:r>
          <w:r>
            <w:rPr>
              <w:rFonts w:hint="eastAsia" w:ascii="微软雅黑" w:hAnsi="微软雅黑" w:eastAsia="微软雅黑" w:cs="微软雅黑"/>
              <w:b/>
              <w:szCs w:val="27"/>
            </w:rPr>
            <w:t>缴纳保证金</w:t>
          </w:r>
          <w:r>
            <w:rPr>
              <w:b/>
            </w:rPr>
            <w:tab/>
          </w:r>
          <w:r>
            <w:rPr>
              <w:b/>
            </w:rPr>
            <w:fldChar w:fldCharType="begin"/>
          </w:r>
          <w:r>
            <w:rPr>
              <w:b/>
            </w:rPr>
            <w:instrText xml:space="preserve"> PAGEREF _Toc9685 </w:instrText>
          </w:r>
          <w:r>
            <w:rPr>
              <w:b/>
            </w:rPr>
            <w:fldChar w:fldCharType="separate"/>
          </w:r>
          <w:r>
            <w:rPr>
              <w:b/>
            </w:rPr>
            <w:t>9</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_Toc4520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5. </w:t>
          </w:r>
          <w:r>
            <w:rPr>
              <w:rFonts w:hint="eastAsia" w:ascii="微软雅黑" w:hAnsi="微软雅黑" w:eastAsia="微软雅黑" w:cs="微软雅黑"/>
              <w:b/>
              <w:szCs w:val="27"/>
            </w:rPr>
            <w:t>竞买报价</w:t>
          </w:r>
          <w:r>
            <w:rPr>
              <w:b/>
            </w:rPr>
            <w:tab/>
          </w:r>
          <w:r>
            <w:rPr>
              <w:b/>
            </w:rPr>
            <w:fldChar w:fldCharType="begin"/>
          </w:r>
          <w:r>
            <w:rPr>
              <w:b/>
            </w:rPr>
            <w:instrText xml:space="preserve"> PAGEREF _Toc4520 </w:instrText>
          </w:r>
          <w:r>
            <w:rPr>
              <w:b/>
            </w:rPr>
            <w:fldChar w:fldCharType="separate"/>
          </w:r>
          <w:r>
            <w:rPr>
              <w:b/>
            </w:rPr>
            <w:t>12</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_Toc11388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6. </w:t>
          </w:r>
          <w:r>
            <w:rPr>
              <w:rFonts w:hint="eastAsia" w:ascii="微软雅黑" w:hAnsi="微软雅黑" w:eastAsia="微软雅黑" w:cs="微软雅黑"/>
              <w:b/>
              <w:szCs w:val="27"/>
            </w:rPr>
            <w:t>颁发最高报价人确认书</w:t>
          </w:r>
          <w:r>
            <w:rPr>
              <w:b/>
            </w:rPr>
            <w:tab/>
          </w:r>
          <w:r>
            <w:rPr>
              <w:b/>
            </w:rPr>
            <w:fldChar w:fldCharType="begin"/>
          </w:r>
          <w:r>
            <w:rPr>
              <w:b/>
            </w:rPr>
            <w:instrText xml:space="preserve"> PAGEREF _Toc11388 </w:instrText>
          </w:r>
          <w:r>
            <w:rPr>
              <w:b/>
            </w:rPr>
            <w:fldChar w:fldCharType="separate"/>
          </w:r>
          <w:r>
            <w:rPr>
              <w:b/>
            </w:rPr>
            <w:t>16</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_Toc31683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7. </w:t>
          </w:r>
          <w:r>
            <w:rPr>
              <w:rFonts w:hint="eastAsia" w:ascii="微软雅黑" w:hAnsi="微软雅黑" w:eastAsia="微软雅黑" w:cs="微软雅黑"/>
              <w:b/>
              <w:szCs w:val="27"/>
            </w:rPr>
            <w:t>成交确认</w:t>
          </w:r>
          <w:r>
            <w:rPr>
              <w:b/>
            </w:rPr>
            <w:tab/>
          </w:r>
          <w:r>
            <w:rPr>
              <w:b/>
            </w:rPr>
            <w:fldChar w:fldCharType="begin"/>
          </w:r>
          <w:r>
            <w:rPr>
              <w:b/>
            </w:rPr>
            <w:instrText xml:space="preserve"> PAGEREF _Toc31683 </w:instrText>
          </w:r>
          <w:r>
            <w:rPr>
              <w:b/>
            </w:rPr>
            <w:fldChar w:fldCharType="separate"/>
          </w:r>
          <w:r>
            <w:rPr>
              <w:b/>
            </w:rPr>
            <w:t>17</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_Toc16022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8. </w:t>
          </w:r>
          <w:r>
            <w:rPr>
              <w:rFonts w:hint="eastAsia" w:ascii="微软雅黑" w:hAnsi="微软雅黑" w:eastAsia="微软雅黑" w:cs="微软雅黑"/>
              <w:b/>
              <w:szCs w:val="27"/>
            </w:rPr>
            <w:t>结果公示</w:t>
          </w:r>
          <w:r>
            <w:rPr>
              <w:b/>
            </w:rPr>
            <w:tab/>
          </w:r>
          <w:r>
            <w:rPr>
              <w:b/>
            </w:rPr>
            <w:fldChar w:fldCharType="begin"/>
          </w:r>
          <w:r>
            <w:rPr>
              <w:b/>
            </w:rPr>
            <w:instrText xml:space="preserve"> PAGEREF _Toc16022 </w:instrText>
          </w:r>
          <w:r>
            <w:rPr>
              <w:b/>
            </w:rPr>
            <w:fldChar w:fldCharType="separate"/>
          </w:r>
          <w:r>
            <w:rPr>
              <w:b/>
            </w:rPr>
            <w:t>19</w:t>
          </w:r>
          <w:r>
            <w:rPr>
              <w:b/>
            </w:rPr>
            <w:fldChar w:fldCharType="end"/>
          </w:r>
          <w:r>
            <w:rPr>
              <w:rFonts w:hint="eastAsia" w:ascii="宋体" w:hAnsi="宋体" w:cs="宋体"/>
              <w:b/>
              <w:bCs/>
              <w:szCs w:val="32"/>
              <w:lang w:val="zh-TW" w:eastAsia="zh-CN"/>
            </w:rPr>
            <w:fldChar w:fldCharType="end"/>
          </w:r>
        </w:p>
        <w:p>
          <w:pPr>
            <w:pStyle w:val="20"/>
            <w:shd w:val="clear"/>
            <w:spacing w:before="240" w:line="360" w:lineRule="auto"/>
            <w:jc w:val="center"/>
            <w:rPr>
              <w:rFonts w:hint="eastAsia" w:ascii="宋体" w:hAnsi="宋体" w:cs="宋体"/>
              <w:b/>
              <w:bCs/>
              <w:szCs w:val="32"/>
              <w:lang w:val="zh-TW" w:eastAsia="zh-CN"/>
            </w:rPr>
          </w:pPr>
          <w:r>
            <w:rPr>
              <w:rFonts w:hint="eastAsia" w:ascii="宋体" w:hAnsi="宋体" w:cs="宋体"/>
              <w:b/>
              <w:bCs/>
              <w:szCs w:val="32"/>
              <w:lang w:val="zh-TW" w:eastAsia="zh-CN"/>
            </w:rPr>
            <w:fldChar w:fldCharType="end"/>
          </w:r>
        </w:p>
        <w:p>
          <w:pPr>
            <w:rPr>
              <w:rFonts w:hint="eastAsia" w:ascii="宋体" w:hAnsi="宋体" w:cs="宋体"/>
              <w:b/>
              <w:bCs/>
              <w:szCs w:val="32"/>
              <w:lang w:val="zh-TW" w:eastAsia="zh-CN"/>
            </w:rPr>
          </w:pPr>
          <w:r>
            <w:rPr>
              <w:rFonts w:hint="eastAsia" w:ascii="宋体" w:hAnsi="宋体" w:cs="宋体"/>
              <w:b/>
              <w:bCs/>
              <w:szCs w:val="32"/>
              <w:lang w:val="zh-TW" w:eastAsia="zh-CN"/>
            </w:rPr>
            <w:br w:type="page"/>
          </w:r>
        </w:p>
        <w:p>
          <w:pPr>
            <w:pStyle w:val="20"/>
            <w:shd w:val="clear"/>
            <w:spacing w:before="240" w:line="360" w:lineRule="auto"/>
            <w:jc w:val="center"/>
            <w:rPr>
              <w:rFonts w:hint="eastAsia" w:ascii="宋体" w:hAnsi="宋体" w:cs="宋体"/>
              <w:b/>
              <w:bCs/>
              <w:sz w:val="32"/>
              <w:szCs w:val="32"/>
              <w:lang w:val="zh-TW" w:eastAsia="zh-CN"/>
            </w:rPr>
          </w:pPr>
        </w:p>
      </w:sdtContent>
    </w:sdt>
    <w:p>
      <w:pPr>
        <w:pStyle w:val="2"/>
        <w:numPr>
          <w:ilvl w:val="0"/>
          <w:numId w:val="1"/>
        </w:numPr>
        <w:bidi w:val="0"/>
        <w:rPr>
          <w:rFonts w:hint="eastAsia" w:ascii="微软雅黑" w:hAnsi="微软雅黑" w:eastAsia="微软雅黑" w:cs="微软雅黑"/>
          <w:b/>
          <w:sz w:val="32"/>
          <w:szCs w:val="32"/>
        </w:rPr>
      </w:pPr>
      <w:bookmarkStart w:id="0" w:name="_Toc30530"/>
      <w:r>
        <w:rPr>
          <w:rFonts w:hint="eastAsia" w:ascii="微软雅黑" w:hAnsi="微软雅黑" w:eastAsia="微软雅黑" w:cs="微软雅黑"/>
          <w:b/>
          <w:sz w:val="32"/>
          <w:szCs w:val="32"/>
        </w:rPr>
        <w:t>资源浏览</w:t>
      </w:r>
      <w:bookmarkEnd w:id="0"/>
    </w:p>
    <w:p>
      <w:pPr>
        <w:pStyle w:val="18"/>
        <w:widowControl/>
        <w:numPr>
          <w:ilvl w:val="0"/>
          <w:numId w:val="2"/>
        </w:numPr>
        <w:shd w:val="clear" w:color="auto"/>
        <w:spacing w:before="300" w:after="225"/>
        <w:ind w:left="372" w:firstLine="0" w:firstLineChars="0"/>
        <w:jc w:val="left"/>
        <w:textAlignment w:val="top"/>
        <w:outlineLvl w:val="2"/>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查询资源：</w:t>
      </w:r>
      <w:r>
        <w:rPr>
          <w:rStyle w:val="10"/>
          <w:rFonts w:hint="eastAsia" w:ascii="微软雅黑" w:hAnsi="微软雅黑" w:eastAsia="微软雅黑" w:cs="宋体"/>
          <w:b w:val="0"/>
          <w:kern w:val="0"/>
          <w:sz w:val="27"/>
          <w:szCs w:val="27"/>
        </w:rPr>
        <w:t>您可以在“土地竞买”栏中浏览、查找所需的资源，通过对“交易阶段”、“行政区域”、“用地类型”条件的设定，筛选出符合要求的资源。您也可以在搜索栏里直接搜索资源编号快速查询。</w:t>
      </w: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2880" cy="2000885"/>
            <wp:effectExtent l="0" t="0" r="1397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880" cy="2000885"/>
                    </a:xfrm>
                    <a:prstGeom prst="rect">
                      <a:avLst/>
                    </a:prstGeom>
                    <a:noFill/>
                    <a:ln>
                      <a:noFill/>
                    </a:ln>
                  </pic:spPr>
                </pic:pic>
              </a:graphicData>
            </a:graphic>
          </wp:inline>
        </w:drawing>
      </w:r>
    </w:p>
    <w:p>
      <w:pPr>
        <w:pStyle w:val="18"/>
        <w:widowControl/>
        <w:numPr>
          <w:ilvl w:val="0"/>
          <w:numId w:val="2"/>
        </w:numPr>
        <w:shd w:val="clear" w:color="auto"/>
        <w:spacing w:before="300" w:after="225"/>
        <w:ind w:left="372" w:firstLine="0" w:firstLineChars="0"/>
        <w:jc w:val="left"/>
        <w:textAlignment w:val="top"/>
        <w:outlineLvl w:val="2"/>
        <w:rPr>
          <w:rStyle w:val="10"/>
          <w:rFonts w:ascii="微软雅黑" w:hAnsi="微软雅黑" w:eastAsia="微软雅黑" w:cs="宋体"/>
          <w:b w:val="0"/>
          <w:color w:val="000000" w:themeColor="text1"/>
          <w:kern w:val="0"/>
          <w:sz w:val="27"/>
          <w:szCs w:val="27"/>
        </w:rPr>
      </w:pPr>
      <w:r>
        <w:rPr>
          <w:rStyle w:val="10"/>
          <w:rFonts w:hint="eastAsia" w:ascii="微软雅黑" w:hAnsi="微软雅黑" w:eastAsia="微软雅黑" w:cs="宋体"/>
          <w:color w:val="000000" w:themeColor="text1"/>
          <w:kern w:val="0"/>
          <w:sz w:val="27"/>
          <w:szCs w:val="27"/>
        </w:rPr>
        <w:t>浏览信息：</w:t>
      </w:r>
      <w:r>
        <w:rPr>
          <w:rStyle w:val="10"/>
          <w:rFonts w:hint="eastAsia" w:ascii="微软雅黑" w:hAnsi="微软雅黑" w:eastAsia="微软雅黑" w:cs="宋体"/>
          <w:b w:val="0"/>
          <w:color w:val="000000" w:themeColor="text1"/>
          <w:kern w:val="0"/>
          <w:sz w:val="27"/>
          <w:szCs w:val="27"/>
        </w:rPr>
        <w:t>点击资源编号进入资源详情页，可浏览该资源的详细信息。点击“收藏”按钮可将资源纳入收藏夹，在“个人中心-我的收藏”页面中快速查找。</w:t>
      </w:r>
    </w:p>
    <w:p>
      <w:pPr>
        <w:pStyle w:val="7"/>
        <w:shd w:val="clear"/>
        <w:spacing w:before="75" w:beforeAutospacing="0" w:after="75" w:afterAutospacing="0"/>
        <w:rPr>
          <w:rFonts w:ascii="Arial" w:hAnsi="Arial" w:cs="Arial"/>
          <w:color w:val="000000"/>
        </w:rPr>
      </w:pPr>
      <w:r>
        <w:rPr>
          <w:rFonts w:ascii="Arial" w:hAnsi="Arial" w:cs="Arial"/>
          <w:color w:val="000000"/>
        </w:rPr>
        <w:t>​</w:t>
      </w:r>
    </w:p>
    <w:p>
      <w:pPr>
        <w:pStyle w:val="7"/>
        <w:shd w:val="clear"/>
        <w:spacing w:before="75" w:beforeAutospacing="0" w:after="75" w:afterAutospacing="0"/>
        <w:rPr>
          <w:rFonts w:ascii="Arial" w:hAnsi="Arial" w:cs="Arial"/>
          <w:color w:val="000000"/>
        </w:rPr>
      </w:pPr>
      <w:r>
        <w:drawing>
          <wp:inline distT="0" distB="0" distL="114300" distR="114300">
            <wp:extent cx="5266690" cy="5692775"/>
            <wp:effectExtent l="0" t="0" r="10160"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5"/>
                    <a:srcRect b="4118"/>
                    <a:stretch>
                      <a:fillRect/>
                    </a:stretch>
                  </pic:blipFill>
                  <pic:spPr>
                    <a:xfrm>
                      <a:off x="0" y="0"/>
                      <a:ext cx="5266690" cy="5692775"/>
                    </a:xfrm>
                    <a:prstGeom prst="rect">
                      <a:avLst/>
                    </a:prstGeom>
                    <a:noFill/>
                    <a:ln>
                      <a:noFill/>
                    </a:ln>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1" w:name="_Toc329"/>
      <w:r>
        <w:rPr>
          <w:rFonts w:hint="eastAsia" w:ascii="微软雅黑" w:hAnsi="微软雅黑" w:eastAsia="微软雅黑" w:cs="微软雅黑"/>
          <w:b/>
          <w:sz w:val="32"/>
          <w:szCs w:val="32"/>
        </w:rPr>
        <w:t>证书申请</w:t>
      </w:r>
      <w:bookmarkEnd w:id="1"/>
    </w:p>
    <w:p>
      <w:pPr>
        <w:pStyle w:val="18"/>
        <w:shd w:val="clear"/>
        <w:ind w:left="374" w:firstLine="540"/>
        <w:rPr>
          <w:rStyle w:val="10"/>
          <w:rFonts w:ascii="微软雅黑" w:hAnsi="微软雅黑" w:eastAsia="微软雅黑" w:cs="宋体"/>
          <w:b w:val="0"/>
          <w:kern w:val="0"/>
          <w:sz w:val="28"/>
          <w:szCs w:val="28"/>
        </w:rPr>
      </w:pPr>
      <w:r>
        <w:rPr>
          <w:rStyle w:val="10"/>
          <w:rFonts w:hint="eastAsia" w:ascii="微软雅黑" w:hAnsi="微软雅黑" w:eastAsia="微软雅黑" w:cs="宋体"/>
          <w:b w:val="0"/>
          <w:kern w:val="0"/>
          <w:sz w:val="27"/>
          <w:szCs w:val="27"/>
        </w:rPr>
        <w:t>如果您对当前资源有竞买意向，请办理数字证书及电子签章，查看办理指南请点击以下链接：</w:t>
      </w:r>
    </w:p>
    <w:p>
      <w:pPr>
        <w:pStyle w:val="18"/>
        <w:shd w:val="clear"/>
        <w:ind w:left="372" w:firstLine="0" w:firstLineChars="0"/>
        <w:rPr>
          <w:rStyle w:val="10"/>
          <w:rFonts w:ascii="微软雅黑" w:hAnsi="微软雅黑" w:eastAsia="微软雅黑" w:cs="宋体"/>
          <w:kern w:val="0"/>
          <w:sz w:val="28"/>
          <w:szCs w:val="28"/>
        </w:rPr>
      </w:pPr>
      <w:r>
        <w:fldChar w:fldCharType="begin"/>
      </w:r>
      <w:r>
        <w:instrText xml:space="preserve"> HYPERLINK "https://www.gdca.com.cn/customer_service/guide_service/application_guide/--00099/" </w:instrText>
      </w:r>
      <w:r>
        <w:fldChar w:fldCharType="separate"/>
      </w:r>
      <w:r>
        <w:rPr>
          <w:rStyle w:val="13"/>
          <w:color w:val="auto"/>
          <w:sz w:val="28"/>
          <w:szCs w:val="28"/>
        </w:rPr>
        <w:t>https://www.gdca.com.cn/customer_service/guide_service/application_guide/--00099/</w:t>
      </w:r>
      <w:r>
        <w:rPr>
          <w:rStyle w:val="13"/>
          <w:color w:val="auto"/>
          <w:sz w:val="28"/>
          <w:szCs w:val="28"/>
        </w:rPr>
        <w:fldChar w:fldCharType="end"/>
      </w:r>
    </w:p>
    <w:p>
      <w:pPr>
        <w:pStyle w:val="7"/>
        <w:shd w:val="clear"/>
        <w:spacing w:before="75" w:beforeAutospacing="0" w:after="75" w:afterAutospacing="0"/>
        <w:rPr>
          <w:rFonts w:ascii="Arial" w:hAnsi="Arial" w:cs="Arial"/>
          <w:color w:val="000000"/>
        </w:rPr>
      </w:pPr>
    </w:p>
    <w:p>
      <w:pPr>
        <w:pStyle w:val="2"/>
        <w:numPr>
          <w:ilvl w:val="0"/>
          <w:numId w:val="1"/>
        </w:numPr>
        <w:bidi w:val="0"/>
        <w:rPr>
          <w:rFonts w:hint="eastAsia" w:ascii="微软雅黑" w:hAnsi="微软雅黑" w:eastAsia="微软雅黑" w:cs="微软雅黑"/>
          <w:b/>
          <w:sz w:val="32"/>
          <w:szCs w:val="32"/>
        </w:rPr>
      </w:pPr>
      <w:bookmarkStart w:id="2" w:name="_Toc20304"/>
      <w:r>
        <w:rPr>
          <w:rFonts w:hint="eastAsia" w:ascii="微软雅黑" w:hAnsi="微软雅黑" w:eastAsia="微软雅黑" w:cs="微软雅黑"/>
          <w:b/>
          <w:sz w:val="32"/>
          <w:szCs w:val="32"/>
        </w:rPr>
        <w:t>竞买申请</w:t>
      </w:r>
      <w:bookmarkEnd w:id="2"/>
    </w:p>
    <w:p>
      <w:pPr>
        <w:pStyle w:val="18"/>
        <w:numPr>
          <w:ilvl w:val="0"/>
          <w:numId w:val="3"/>
        </w:numPr>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登录系统：</w:t>
      </w:r>
      <w:r>
        <w:rPr>
          <w:rStyle w:val="10"/>
          <w:rFonts w:hint="eastAsia" w:ascii="微软雅黑" w:hAnsi="微软雅黑" w:eastAsia="微软雅黑" w:cs="宋体"/>
          <w:b w:val="0"/>
          <w:kern w:val="0"/>
          <w:sz w:val="27"/>
          <w:szCs w:val="27"/>
        </w:rPr>
        <w:t>请使用数字证书登录交易系统，如果您是首次登录，请填写市场主体信息。</w:t>
      </w:r>
    </w:p>
    <w:p>
      <w:pPr>
        <w:pStyle w:val="18"/>
        <w:shd w:val="clear"/>
        <w:ind w:left="372"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6690" cy="2366645"/>
            <wp:effectExtent l="0" t="0" r="10160"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5266690" cy="2366645"/>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color w:val="FF0000"/>
          <w:kern w:val="0"/>
          <w:sz w:val="27"/>
          <w:szCs w:val="27"/>
        </w:rPr>
      </w:pPr>
      <w:r>
        <w:rPr>
          <w:rStyle w:val="10"/>
          <w:rFonts w:hint="eastAsia" w:ascii="微软雅黑" w:hAnsi="微软雅黑" w:eastAsia="微软雅黑" w:cs="宋体"/>
          <w:kern w:val="0"/>
          <w:sz w:val="27"/>
          <w:szCs w:val="27"/>
        </w:rPr>
        <w:t>（二）提交竞买申请：</w:t>
      </w:r>
      <w:r>
        <w:rPr>
          <w:rStyle w:val="10"/>
          <w:rFonts w:hint="eastAsia" w:ascii="微软雅黑" w:hAnsi="微软雅黑" w:eastAsia="微软雅黑" w:cs="宋体"/>
          <w:b w:val="0"/>
          <w:kern w:val="0"/>
          <w:sz w:val="27"/>
          <w:szCs w:val="27"/>
        </w:rPr>
        <w:t>进入资源详情页面，点击上方“竞买申请”按钮进入申购页面</w:t>
      </w:r>
      <w:r>
        <w:rPr>
          <w:rStyle w:val="10"/>
          <w:rFonts w:hint="eastAsia" w:ascii="微软雅黑" w:hAnsi="微软雅黑" w:eastAsia="微软雅黑" w:cs="宋体"/>
          <w:kern w:val="0"/>
          <w:sz w:val="27"/>
          <w:szCs w:val="27"/>
        </w:rPr>
        <w:t>（注意：只有进入挂牌期的资源才可以申请竞买）。</w:t>
      </w:r>
    </w:p>
    <w:p>
      <w:pPr>
        <w:pStyle w:val="18"/>
        <w:shd w:val="clear"/>
        <w:ind w:left="372" w:firstLine="0" w:firstLineChars="0"/>
        <w:rPr>
          <w:rStyle w:val="10"/>
          <w:rFonts w:ascii="微软雅黑" w:hAnsi="微软雅黑" w:eastAsia="微软雅黑" w:cs="宋体"/>
          <w:b w:val="0"/>
          <w:color w:val="FF0000"/>
          <w:kern w:val="0"/>
          <w:sz w:val="27"/>
          <w:szCs w:val="27"/>
        </w:rPr>
      </w:pPr>
      <w:r>
        <w:drawing>
          <wp:inline distT="0" distB="0" distL="114300" distR="114300">
            <wp:extent cx="5267960" cy="2302510"/>
            <wp:effectExtent l="0" t="0" r="889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7960" cy="2302510"/>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 xml:space="preserve">  1、阅读网上交易规则</w:t>
      </w:r>
    </w:p>
    <w:p>
      <w:pPr>
        <w:pStyle w:val="18"/>
        <w:shd w:val="clear"/>
        <w:ind w:left="372" w:firstLine="0" w:firstLineChars="0"/>
      </w:pPr>
      <w:r>
        <w:drawing>
          <wp:inline distT="0" distB="0" distL="114300" distR="114300">
            <wp:extent cx="5265420" cy="3121660"/>
            <wp:effectExtent l="0" t="0" r="11430" b="254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8"/>
                    <a:stretch>
                      <a:fillRect/>
                    </a:stretch>
                  </pic:blipFill>
                  <pic:spPr>
                    <a:xfrm>
                      <a:off x="0" y="0"/>
                      <a:ext cx="5265420" cy="3121660"/>
                    </a:xfrm>
                    <a:prstGeom prst="rect">
                      <a:avLst/>
                    </a:prstGeom>
                    <a:noFill/>
                    <a:ln>
                      <a:noFill/>
                    </a:ln>
                  </pic:spPr>
                </pic:pic>
              </a:graphicData>
            </a:graphic>
          </wp:inline>
        </w:drawing>
      </w:r>
    </w:p>
    <w:p>
      <w:pPr>
        <w:pStyle w:val="18"/>
        <w:shd w:val="clear"/>
        <w:ind w:left="372" w:firstLine="0" w:firstLineChars="0"/>
      </w:pPr>
      <w:r>
        <w:drawing>
          <wp:inline distT="0" distB="0" distL="114300" distR="114300">
            <wp:extent cx="5270500" cy="3107690"/>
            <wp:effectExtent l="0" t="0" r="6350" b="1651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9"/>
                    <a:stretch>
                      <a:fillRect/>
                    </a:stretch>
                  </pic:blipFill>
                  <pic:spPr>
                    <a:xfrm>
                      <a:off x="0" y="0"/>
                      <a:ext cx="5270500" cy="3107690"/>
                    </a:xfrm>
                    <a:prstGeom prst="rect">
                      <a:avLst/>
                    </a:prstGeom>
                    <a:noFill/>
                    <a:ln>
                      <a:noFill/>
                    </a:ln>
                  </pic:spPr>
                </pic:pic>
              </a:graphicData>
            </a:graphic>
          </wp:inline>
        </w:drawing>
      </w:r>
    </w:p>
    <w:p>
      <w:pPr>
        <w:pStyle w:val="18"/>
        <w:shd w:val="clear"/>
        <w:ind w:left="372" w:firstLine="0" w:firstLineChars="0"/>
      </w:pPr>
    </w:p>
    <w:p>
      <w:pPr>
        <w:pStyle w:val="18"/>
        <w:numPr>
          <w:ilvl w:val="0"/>
          <w:numId w:val="4"/>
        </w:numPr>
        <w:shd w:val="clear"/>
        <w:ind w:left="372" w:leftChars="177" w:firstLine="270" w:firstLineChars="1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选择申购方式</w:t>
      </w:r>
    </w:p>
    <w:p>
      <w:pPr>
        <w:pStyle w:val="18"/>
        <w:shd w:val="clear"/>
        <w:ind w:left="582" w:leftChars="277"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6690" cy="2581910"/>
            <wp:effectExtent l="0" t="0" r="1016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0"/>
                    <a:stretch>
                      <a:fillRect/>
                    </a:stretch>
                  </pic:blipFill>
                  <pic:spPr>
                    <a:xfrm>
                      <a:off x="0" y="0"/>
                      <a:ext cx="5266690" cy="2581910"/>
                    </a:xfrm>
                    <a:prstGeom prst="rect">
                      <a:avLst/>
                    </a:prstGeom>
                    <a:noFill/>
                    <a:ln>
                      <a:noFill/>
                    </a:ln>
                  </pic:spPr>
                </pic:pic>
              </a:graphicData>
            </a:graphic>
          </wp:inline>
        </w:drawing>
      </w:r>
    </w:p>
    <w:p>
      <w:pPr>
        <w:pStyle w:val="18"/>
        <w:numPr>
          <w:ilvl w:val="0"/>
          <w:numId w:val="4"/>
        </w:numPr>
        <w:shd w:val="clear"/>
        <w:ind w:left="372" w:leftChars="177" w:firstLine="270" w:firstLineChars="1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选择是否拟成立新公司（</w:t>
      </w:r>
      <w:r>
        <w:rPr>
          <w:rStyle w:val="10"/>
          <w:rFonts w:hint="eastAsia" w:ascii="微软雅黑" w:hAnsi="微软雅黑" w:eastAsia="微软雅黑" w:cs="宋体"/>
          <w:kern w:val="0"/>
          <w:sz w:val="27"/>
          <w:szCs w:val="27"/>
        </w:rPr>
        <w:t>注意：如果申请竞买的资源所属行政区为宁乡市和浏阳市，需填写拟成立新公司名称和拟成立新公司时间</w:t>
      </w:r>
      <w:r>
        <w:rPr>
          <w:rStyle w:val="10"/>
          <w:rFonts w:ascii="微软雅黑" w:hAnsi="微软雅黑" w:eastAsia="微软雅黑" w:cs="宋体"/>
          <w:kern w:val="0"/>
          <w:sz w:val="27"/>
          <w:szCs w:val="27"/>
        </w:rPr>
        <w:t>。</w:t>
      </w:r>
      <w:r>
        <w:rPr>
          <w:rStyle w:val="10"/>
          <w:rFonts w:hint="eastAsia" w:ascii="微软雅黑" w:hAnsi="微软雅黑" w:eastAsia="微软雅黑" w:cs="宋体"/>
          <w:b w:val="0"/>
          <w:kern w:val="0"/>
          <w:sz w:val="27"/>
          <w:szCs w:val="27"/>
        </w:rPr>
        <w:t>）</w:t>
      </w:r>
    </w:p>
    <w:p>
      <w:pPr>
        <w:pStyle w:val="18"/>
        <w:shd w:val="clear"/>
        <w:ind w:firstLine="0" w:firstLineChars="0"/>
      </w:pPr>
      <w:r>
        <w:drawing>
          <wp:inline distT="0" distB="0" distL="0" distR="0">
            <wp:extent cx="5274310" cy="25634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2563495"/>
                    </a:xfrm>
                    <a:prstGeom prst="rect">
                      <a:avLst/>
                    </a:prstGeom>
                  </pic:spPr>
                </pic:pic>
              </a:graphicData>
            </a:graphic>
          </wp:inline>
        </w:drawing>
      </w:r>
    </w:p>
    <w:p>
      <w:pPr>
        <w:pStyle w:val="18"/>
        <w:shd w:val="clear"/>
        <w:ind w:firstLine="0" w:firstLineChars="0"/>
      </w:pPr>
      <w:r>
        <w:drawing>
          <wp:inline distT="0" distB="0" distL="0" distR="0">
            <wp:extent cx="5273040" cy="299466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3040" cy="2994660"/>
                    </a:xfrm>
                    <a:prstGeom prst="rect">
                      <a:avLst/>
                    </a:prstGeom>
                    <a:noFill/>
                    <a:ln>
                      <a:noFill/>
                    </a:ln>
                  </pic:spPr>
                </pic:pic>
              </a:graphicData>
            </a:graphic>
          </wp:inline>
        </w:drawing>
      </w:r>
    </w:p>
    <w:p>
      <w:pPr>
        <w:pStyle w:val="18"/>
        <w:numPr>
          <w:ilvl w:val="0"/>
          <w:numId w:val="4"/>
        </w:numPr>
        <w:shd w:val="clear"/>
        <w:ind w:left="372" w:leftChars="177" w:firstLine="270" w:firstLineChars="1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填写竞买申请书（</w:t>
      </w:r>
      <w:r>
        <w:rPr>
          <w:rStyle w:val="10"/>
          <w:rFonts w:hint="eastAsia" w:ascii="微软雅黑" w:hAnsi="微软雅黑" w:eastAsia="微软雅黑" w:cs="宋体"/>
          <w:kern w:val="0"/>
          <w:sz w:val="27"/>
          <w:szCs w:val="27"/>
        </w:rPr>
        <w:t>注意：在竞买申请环节中，填写的信息、选择申购方式及是否拟成立新公司等操作，在您获得竞买资格前，均可返回进行修改。一旦获取竞买资格，以上操作均不可撤回</w:t>
      </w:r>
      <w:r>
        <w:rPr>
          <w:rStyle w:val="10"/>
          <w:rFonts w:hint="eastAsia" w:ascii="微软雅黑" w:hAnsi="微软雅黑" w:eastAsia="微软雅黑" w:cs="宋体"/>
          <w:b w:val="0"/>
          <w:kern w:val="0"/>
          <w:sz w:val="27"/>
          <w:szCs w:val="27"/>
        </w:rPr>
        <w:t>）。</w:t>
      </w:r>
    </w:p>
    <w:p>
      <w:pPr>
        <w:pStyle w:val="18"/>
        <w:shd w:val="clear"/>
        <w:ind w:firstLine="0" w:firstLineChars="0"/>
        <w:jc w:val="left"/>
      </w:pPr>
    </w:p>
    <w:p>
      <w:pPr>
        <w:pStyle w:val="18"/>
        <w:shd w:val="clear"/>
        <w:ind w:firstLine="0" w:firstLineChars="0"/>
        <w:jc w:val="left"/>
      </w:pPr>
      <w:r>
        <w:drawing>
          <wp:inline distT="0" distB="0" distL="114300" distR="114300">
            <wp:extent cx="5266690" cy="7291705"/>
            <wp:effectExtent l="0" t="0" r="10160" b="444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3"/>
                    <a:srcRect b="5885"/>
                    <a:stretch>
                      <a:fillRect/>
                    </a:stretch>
                  </pic:blipFill>
                  <pic:spPr>
                    <a:xfrm>
                      <a:off x="0" y="0"/>
                      <a:ext cx="5266690" cy="7291705"/>
                    </a:xfrm>
                    <a:prstGeom prst="rect">
                      <a:avLst/>
                    </a:prstGeom>
                    <a:noFill/>
                    <a:ln>
                      <a:noFill/>
                    </a:ln>
                  </pic:spPr>
                </pic:pic>
              </a:graphicData>
            </a:graphic>
          </wp:inline>
        </w:drawing>
      </w:r>
    </w:p>
    <w:p>
      <w:pPr>
        <w:pStyle w:val="18"/>
        <w:shd w:val="clear"/>
        <w:ind w:left="372" w:leftChars="177" w:firstLine="270" w:firstLineChars="100"/>
        <w:rPr>
          <w:rStyle w:val="10"/>
          <w:rFonts w:ascii="微软雅黑" w:hAnsi="微软雅黑" w:eastAsia="微软雅黑" w:cs="宋体"/>
          <w:b w:val="0"/>
          <w:color w:val="FF0000"/>
          <w:kern w:val="0"/>
          <w:sz w:val="27"/>
          <w:szCs w:val="27"/>
        </w:rPr>
      </w:pPr>
      <w:r>
        <w:rPr>
          <w:rStyle w:val="10"/>
          <w:rFonts w:hint="eastAsia" w:ascii="微软雅黑" w:hAnsi="微软雅黑" w:eastAsia="微软雅黑" w:cs="宋体"/>
          <w:b w:val="0"/>
          <w:kern w:val="0"/>
          <w:sz w:val="27"/>
          <w:szCs w:val="27"/>
        </w:rPr>
        <w:t>5、竞买申请书在线签章。请点击</w:t>
      </w:r>
      <w:r>
        <w:rPr>
          <w:rFonts w:hint="eastAsia" w:ascii="微软雅黑" w:hAnsi="微软雅黑" w:eastAsia="微软雅黑" w:cs="宋体"/>
          <w:b/>
          <w:kern w:val="0"/>
          <w:sz w:val="27"/>
          <w:szCs w:val="27"/>
        </w:rPr>
        <w:drawing>
          <wp:inline distT="0" distB="0" distL="0" distR="0">
            <wp:extent cx="361950" cy="3206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srcRect/>
                    <a:stretch>
                      <a:fillRect/>
                    </a:stretch>
                  </pic:blipFill>
                  <pic:spPr>
                    <a:xfrm>
                      <a:off x="0" y="0"/>
                      <a:ext cx="361950" cy="320675"/>
                    </a:xfrm>
                    <a:prstGeom prst="rect">
                      <a:avLst/>
                    </a:prstGeom>
                    <a:noFill/>
                    <a:ln w="9525">
                      <a:noFill/>
                      <a:miter lim="800000"/>
                      <a:headEnd/>
                      <a:tailEnd/>
                    </a:ln>
                  </pic:spPr>
                </pic:pic>
              </a:graphicData>
            </a:graphic>
          </wp:inline>
        </w:drawing>
      </w:r>
      <w:r>
        <w:rPr>
          <w:rStyle w:val="10"/>
          <w:rFonts w:hint="eastAsia" w:ascii="微软雅黑" w:hAnsi="微软雅黑" w:eastAsia="微软雅黑" w:cs="宋体"/>
          <w:b w:val="0"/>
          <w:kern w:val="0"/>
          <w:sz w:val="27"/>
          <w:szCs w:val="27"/>
        </w:rPr>
        <w:t>按钮，对竞买申请书进行签章，如有多页，选择“多页签章”。</w:t>
      </w:r>
    </w:p>
    <w:p>
      <w:pPr>
        <w:pStyle w:val="7"/>
        <w:shd w:val="clear"/>
        <w:spacing w:before="75" w:beforeAutospacing="0" w:after="75" w:afterAutospacing="0"/>
        <w:jc w:val="center"/>
      </w:pPr>
      <w:r>
        <w:drawing>
          <wp:inline distT="0" distB="0" distL="114300" distR="114300">
            <wp:extent cx="5271135" cy="2772410"/>
            <wp:effectExtent l="0" t="0" r="571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71135" cy="2772410"/>
                    </a:xfrm>
                    <a:prstGeom prst="rect">
                      <a:avLst/>
                    </a:prstGeom>
                    <a:noFill/>
                    <a:ln>
                      <a:noFill/>
                    </a:ln>
                  </pic:spPr>
                </pic:pic>
              </a:graphicData>
            </a:graphic>
          </wp:inline>
        </w:drawing>
      </w:r>
    </w:p>
    <w:p>
      <w:pPr>
        <w:pStyle w:val="7"/>
        <w:shd w:val="clear"/>
        <w:spacing w:before="75" w:beforeAutospacing="0" w:after="75" w:afterAutospacing="0"/>
        <w:rPr>
          <w:rStyle w:val="10"/>
          <w:color w:val="333333"/>
          <w:shd w:val="clear" w:color="auto" w:fill="FFFFFF"/>
        </w:rPr>
      </w:pPr>
    </w:p>
    <w:p>
      <w:pPr>
        <w:pStyle w:val="7"/>
        <w:shd w:val="clear"/>
        <w:spacing w:before="75" w:beforeAutospacing="0" w:after="75" w:afterAutospacing="0"/>
        <w:rPr>
          <w:rFonts w:ascii="Arial" w:hAnsi="Arial" w:cs="Arial"/>
          <w:color w:val="000000"/>
        </w:rPr>
      </w:pPr>
    </w:p>
    <w:p>
      <w:pPr>
        <w:pStyle w:val="2"/>
        <w:numPr>
          <w:ilvl w:val="0"/>
          <w:numId w:val="1"/>
        </w:numPr>
        <w:bidi w:val="0"/>
        <w:rPr>
          <w:rFonts w:hint="eastAsia" w:ascii="微软雅黑" w:hAnsi="微软雅黑" w:eastAsia="微软雅黑" w:cs="微软雅黑"/>
          <w:b/>
          <w:sz w:val="32"/>
          <w:szCs w:val="32"/>
        </w:rPr>
      </w:pPr>
      <w:bookmarkStart w:id="3" w:name="_Toc9685"/>
      <w:r>
        <w:rPr>
          <w:rFonts w:hint="eastAsia" w:ascii="微软雅黑" w:hAnsi="微软雅黑" w:eastAsia="微软雅黑" w:cs="微软雅黑"/>
          <w:b/>
          <w:sz w:val="32"/>
          <w:szCs w:val="32"/>
        </w:rPr>
        <w:t>缴纳保证金</w:t>
      </w:r>
      <w:bookmarkEnd w:id="3"/>
    </w:p>
    <w:p>
      <w:pPr>
        <w:pStyle w:val="18"/>
        <w:numPr>
          <w:ilvl w:val="0"/>
          <w:numId w:val="5"/>
        </w:numPr>
        <w:shd w:val="clear"/>
        <w:ind w:left="372" w:firstLine="0" w:firstLineChars="0"/>
        <w:rPr>
          <w:rStyle w:val="10"/>
          <w:rFonts w:ascii="微软雅黑" w:hAnsi="微软雅黑" w:eastAsia="微软雅黑" w:cs="宋体"/>
          <w:kern w:val="0"/>
          <w:sz w:val="27"/>
          <w:szCs w:val="27"/>
        </w:rPr>
      </w:pPr>
      <w:r>
        <w:rPr>
          <w:rStyle w:val="10"/>
          <w:rFonts w:hint="eastAsia" w:ascii="微软雅黑" w:hAnsi="微软雅黑" w:eastAsia="微软雅黑" w:cs="宋体"/>
          <w:kern w:val="0"/>
          <w:sz w:val="27"/>
          <w:szCs w:val="27"/>
        </w:rPr>
        <w:t>选择保证金缴纳银行（注意：请确认CA证书中填报的信息与缴纳保证金的主体信息一致，竞买保证金不得委托第三方代为缴纳）</w:t>
      </w:r>
    </w:p>
    <w:p>
      <w:pPr>
        <w:pStyle w:val="18"/>
        <w:shd w:val="clear"/>
        <w:ind w:firstLine="0" w:firstLineChars="0"/>
      </w:pPr>
    </w:p>
    <w:p>
      <w:pPr>
        <w:pStyle w:val="18"/>
        <w:shd w:val="clear"/>
        <w:ind w:firstLine="0" w:firstLineChars="0"/>
        <w:rPr>
          <w:rStyle w:val="10"/>
          <w:rFonts w:ascii="微软雅黑" w:hAnsi="微软雅黑" w:eastAsia="微软雅黑" w:cs="宋体"/>
          <w:color w:val="2F5496" w:themeColor="accent1" w:themeShade="BF"/>
          <w:kern w:val="0"/>
          <w:sz w:val="27"/>
          <w:szCs w:val="27"/>
        </w:rPr>
      </w:pPr>
      <w:r>
        <w:drawing>
          <wp:inline distT="0" distB="0" distL="114300" distR="114300">
            <wp:extent cx="5266690" cy="3561715"/>
            <wp:effectExtent l="0" t="0" r="10160" b="63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6"/>
                    <a:srcRect b="6267"/>
                    <a:stretch>
                      <a:fillRect/>
                    </a:stretch>
                  </pic:blipFill>
                  <pic:spPr>
                    <a:xfrm>
                      <a:off x="0" y="0"/>
                      <a:ext cx="5266690" cy="3561715"/>
                    </a:xfrm>
                    <a:prstGeom prst="rect">
                      <a:avLst/>
                    </a:prstGeom>
                    <a:noFill/>
                    <a:ln>
                      <a:noFill/>
                    </a:ln>
                  </pic:spPr>
                </pic:pic>
              </a:graphicData>
            </a:graphic>
          </wp:inline>
        </w:drawing>
      </w:r>
    </w:p>
    <w:p>
      <w:pPr>
        <w:pStyle w:val="18"/>
        <w:numPr>
          <w:ilvl w:val="0"/>
          <w:numId w:val="5"/>
        </w:numPr>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展示申购回执单。</w:t>
      </w:r>
      <w:r>
        <w:rPr>
          <w:rStyle w:val="10"/>
          <w:rFonts w:hint="eastAsia" w:ascii="微软雅黑" w:hAnsi="微软雅黑" w:eastAsia="微软雅黑" w:cs="宋体"/>
          <w:b w:val="0"/>
          <w:kern w:val="0"/>
          <w:sz w:val="27"/>
          <w:szCs w:val="27"/>
        </w:rPr>
        <w:t>银行系统根据您的申请随机生成唯一的保证金子账号，在系统展示的回执单中进行展示。</w:t>
      </w:r>
    </w:p>
    <w:p>
      <w:pPr>
        <w:pStyle w:val="18"/>
        <w:shd w:val="clear"/>
        <w:ind w:firstLine="0" w:firstLineChars="0"/>
      </w:pP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71135" cy="2816860"/>
            <wp:effectExtent l="0" t="0" r="5715" b="254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7"/>
                    <a:srcRect b="9136"/>
                    <a:stretch>
                      <a:fillRect/>
                    </a:stretch>
                  </pic:blipFill>
                  <pic:spPr>
                    <a:xfrm>
                      <a:off x="0" y="0"/>
                      <a:ext cx="5271135" cy="2816860"/>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color w:val="2F5496" w:themeColor="accent1" w:themeShade="BF"/>
          <w:kern w:val="0"/>
          <w:sz w:val="27"/>
          <w:szCs w:val="27"/>
        </w:rPr>
      </w:pP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（三）缴纳保证金</w:t>
      </w:r>
      <w:r>
        <w:rPr>
          <w:rStyle w:val="10"/>
          <w:rFonts w:hint="eastAsia" w:ascii="微软雅黑" w:hAnsi="微软雅黑" w:eastAsia="微软雅黑" w:cs="宋体"/>
          <w:b w:val="0"/>
          <w:kern w:val="0"/>
          <w:sz w:val="27"/>
          <w:szCs w:val="27"/>
        </w:rPr>
        <w:t>。请在出让公告规定的保证金缴纳截止时间前向该账号足额缴纳保证金。每笔竞买保证金只对应一个网上挂牌资源，同时竞买多个资源，应当按照上述申请流程分别申请，并向对应保证金子账号缴纳竞买保证金。</w:t>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（四）查询到账情况。</w:t>
      </w:r>
      <w:r>
        <w:rPr>
          <w:rStyle w:val="10"/>
          <w:rFonts w:hint="eastAsia" w:ascii="微软雅黑" w:hAnsi="微软雅黑" w:eastAsia="微软雅黑" w:cs="宋体"/>
          <w:b w:val="0"/>
          <w:kern w:val="0"/>
          <w:sz w:val="27"/>
          <w:szCs w:val="27"/>
        </w:rPr>
        <w:t>在申购回执单页面，点击刷新到账情况按钮，可查询保证金到账情况。也可在“个人中心-支付管理-保证金缴纳情况”页面中查看保证金缴纳情况。</w:t>
      </w: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71135" cy="2548255"/>
            <wp:effectExtent l="0" t="0" r="5715" b="444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8"/>
                    <a:stretch>
                      <a:fillRect/>
                    </a:stretch>
                  </pic:blipFill>
                  <pic:spPr>
                    <a:xfrm>
                      <a:off x="0" y="0"/>
                      <a:ext cx="5271135" cy="2548255"/>
                    </a:xfrm>
                    <a:prstGeom prst="rect">
                      <a:avLst/>
                    </a:prstGeom>
                    <a:noFill/>
                    <a:ln>
                      <a:noFill/>
                    </a:ln>
                  </pic:spPr>
                </pic:pic>
              </a:graphicData>
            </a:graphic>
          </wp:inline>
        </w:drawing>
      </w:r>
    </w:p>
    <w:p>
      <w:pPr>
        <w:pStyle w:val="18"/>
        <w:shd w:val="clear"/>
        <w:ind w:left="372" w:leftChars="177" w:firstLine="54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您可以点击“个人中心-支付管理-银行出入账查询-到账查询”页面查看每一笔保证金打款记录。</w:t>
      </w: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4785" cy="2717165"/>
            <wp:effectExtent l="0" t="0" r="12065" b="698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19"/>
                    <a:stretch>
                      <a:fillRect/>
                    </a:stretch>
                  </pic:blipFill>
                  <pic:spPr>
                    <a:xfrm>
                      <a:off x="0" y="0"/>
                      <a:ext cx="5264785" cy="2717165"/>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（五）获取竞买资格。</w:t>
      </w:r>
      <w:r>
        <w:rPr>
          <w:rStyle w:val="10"/>
          <w:rFonts w:hint="eastAsia" w:ascii="微软雅黑" w:hAnsi="微软雅黑" w:eastAsia="微软雅黑" w:cs="宋体"/>
          <w:b w:val="0"/>
          <w:kern w:val="0"/>
          <w:sz w:val="27"/>
          <w:szCs w:val="27"/>
        </w:rPr>
        <w:t>您在规定的时间内（以银行到账时间为准）足额缴纳了竞买保证金至指定账户，即获得网上报价资格，系统自动向您颁发《网上报价资格确认书》，点击 “个人中心-我的文档”可进行查看，该确认书是您参与竞买的唯一有效凭证。如果您在规定时间内，未缴纳或者未足额缴纳竞买保证金至指定账户，将不能获取网上报价资格。</w:t>
      </w:r>
    </w:p>
    <w:p>
      <w:pPr>
        <w:pStyle w:val="7"/>
        <w:shd w:val="clear"/>
        <w:spacing w:before="75" w:beforeAutospacing="0" w:after="75" w:afterAutospacing="0"/>
        <w:rPr>
          <w:rStyle w:val="10"/>
          <w:rFonts w:hint="eastAsia" w:ascii="黑体" w:hAnsi="黑体" w:eastAsia="黑体" w:cs="黑体"/>
          <w:color w:val="2F5496" w:themeColor="accent1" w:themeShade="BF"/>
          <w:sz w:val="24"/>
          <w:szCs w:val="24"/>
        </w:rPr>
      </w:pPr>
      <w:r>
        <w:rPr>
          <w:rFonts w:hint="eastAsia" w:ascii="黑体" w:hAnsi="黑体" w:eastAsia="黑体" w:cs="黑体"/>
          <w:sz w:val="22"/>
          <w:szCs w:val="22"/>
        </w:rPr>
        <w:drawing>
          <wp:inline distT="0" distB="0" distL="114300" distR="114300">
            <wp:extent cx="5266690" cy="2765425"/>
            <wp:effectExtent l="0" t="0" r="10160" b="1587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0"/>
                    <a:stretch>
                      <a:fillRect/>
                    </a:stretch>
                  </pic:blipFill>
                  <pic:spPr>
                    <a:xfrm>
                      <a:off x="0" y="0"/>
                      <a:ext cx="5266690" cy="2765425"/>
                    </a:xfrm>
                    <a:prstGeom prst="rect">
                      <a:avLst/>
                    </a:prstGeom>
                    <a:noFill/>
                    <a:ln>
                      <a:noFill/>
                    </a:ln>
                  </pic:spPr>
                </pic:pic>
              </a:graphicData>
            </a:graphic>
          </wp:inline>
        </w:drawing>
      </w:r>
    </w:p>
    <w:p>
      <w:pPr>
        <w:pStyle w:val="7"/>
        <w:shd w:val="clear"/>
        <w:spacing w:before="75" w:beforeAutospacing="0" w:after="75" w:afterAutospacing="0"/>
        <w:rPr>
          <w:rStyle w:val="10"/>
          <w:rFonts w:hint="eastAsia" w:ascii="黑体" w:hAnsi="黑体" w:eastAsia="黑体" w:cs="黑体"/>
          <w:color w:val="333333"/>
          <w:sz w:val="22"/>
          <w:szCs w:val="22"/>
          <w:shd w:val="clear" w:color="auto" w:fill="FFFFFF"/>
        </w:rPr>
      </w:pPr>
    </w:p>
    <w:p>
      <w:pPr>
        <w:pStyle w:val="2"/>
        <w:numPr>
          <w:ilvl w:val="0"/>
          <w:numId w:val="1"/>
        </w:numPr>
        <w:bidi w:val="0"/>
        <w:rPr>
          <w:rFonts w:hint="eastAsia" w:ascii="微软雅黑" w:hAnsi="微软雅黑" w:eastAsia="微软雅黑" w:cs="微软雅黑"/>
          <w:b/>
          <w:sz w:val="32"/>
          <w:szCs w:val="32"/>
        </w:rPr>
      </w:pPr>
      <w:bookmarkStart w:id="4" w:name="_Toc4520"/>
      <w:r>
        <w:rPr>
          <w:rFonts w:hint="eastAsia" w:ascii="微软雅黑" w:hAnsi="微软雅黑" w:eastAsia="微软雅黑" w:cs="微软雅黑"/>
          <w:b/>
          <w:sz w:val="32"/>
          <w:szCs w:val="32"/>
        </w:rPr>
        <w:t>竞买报价</w:t>
      </w:r>
      <w:bookmarkEnd w:id="4"/>
    </w:p>
    <w:p>
      <w:pPr>
        <w:pStyle w:val="18"/>
        <w:numPr>
          <w:ilvl w:val="0"/>
          <w:numId w:val="6"/>
        </w:numPr>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挂牌期报价。</w:t>
      </w:r>
      <w:r>
        <w:rPr>
          <w:rStyle w:val="10"/>
          <w:rFonts w:hint="eastAsia" w:ascii="微软雅黑" w:hAnsi="微软雅黑" w:eastAsia="微软雅黑" w:cs="宋体"/>
          <w:b w:val="0"/>
          <w:kern w:val="0"/>
          <w:sz w:val="27"/>
          <w:szCs w:val="27"/>
        </w:rPr>
        <w:t>取得网上报价资格的竞买人，在网上挂牌期限内，可通过数字证书登录系统，进入“个人中心-我的交易-正在参与的交易”页面，点击 “竞买报价”按钮进入网上挂牌报价界面。在挂牌期限截止前，竞买人应当进行至少一次有效报价，方有资格参加该资源的网上限时竞价。挂牌期限届满，若只有一位竞买人进行有效报价，该报价者即为最高报价人。</w:t>
      </w:r>
    </w:p>
    <w:p>
      <w:pPr>
        <w:pStyle w:val="18"/>
        <w:shd w:val="clear"/>
        <w:ind w:firstLine="0" w:firstLineChars="0"/>
      </w:pPr>
      <w:r>
        <w:drawing>
          <wp:inline distT="0" distB="0" distL="114300" distR="114300">
            <wp:extent cx="5266690" cy="2743835"/>
            <wp:effectExtent l="0" t="0" r="10160" b="1841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21"/>
                    <a:stretch>
                      <a:fillRect/>
                    </a:stretch>
                  </pic:blipFill>
                  <pic:spPr>
                    <a:xfrm>
                      <a:off x="0" y="0"/>
                      <a:ext cx="5266690" cy="2743835"/>
                    </a:xfrm>
                    <a:prstGeom prst="rect">
                      <a:avLst/>
                    </a:prstGeom>
                    <a:noFill/>
                    <a:ln>
                      <a:noFill/>
                    </a:ln>
                  </pic:spPr>
                </pic:pic>
              </a:graphicData>
            </a:graphic>
          </wp:inline>
        </w:drawing>
      </w:r>
    </w:p>
    <w:p>
      <w:pPr>
        <w:pStyle w:val="18"/>
        <w:shd w:val="clear"/>
        <w:ind w:firstLine="0" w:firstLineChars="0"/>
      </w:pPr>
      <w:r>
        <w:drawing>
          <wp:inline distT="0" distB="0" distL="114300" distR="114300">
            <wp:extent cx="5269230" cy="2504440"/>
            <wp:effectExtent l="0" t="0" r="7620" b="1016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2"/>
                    <a:stretch>
                      <a:fillRect/>
                    </a:stretch>
                  </pic:blipFill>
                  <pic:spPr>
                    <a:xfrm>
                      <a:off x="0" y="0"/>
                      <a:ext cx="5269230" cy="2504440"/>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（二）网上限时竞价。</w:t>
      </w:r>
      <w:r>
        <w:rPr>
          <w:rStyle w:val="10"/>
          <w:rFonts w:hint="eastAsia" w:ascii="微软雅黑" w:hAnsi="微软雅黑" w:eastAsia="微软雅黑" w:cs="宋体"/>
          <w:b w:val="0"/>
          <w:kern w:val="0"/>
          <w:sz w:val="27"/>
          <w:szCs w:val="27"/>
        </w:rPr>
        <w:t>规定的挂牌期限届满，经系统确认，有两个或两个以上的竞买人进行了有效报价，系统自动进入网上限时竞价程序。</w:t>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sz w:val="27"/>
          <w:szCs w:val="27"/>
        </w:rPr>
        <w:t>1、等待期。</w:t>
      </w:r>
      <w:r>
        <w:rPr>
          <w:rStyle w:val="10"/>
          <w:rFonts w:hint="eastAsia" w:ascii="微软雅黑" w:hAnsi="微软雅黑" w:eastAsia="微软雅黑"/>
          <w:b w:val="0"/>
          <w:bCs w:val="0"/>
          <w:sz w:val="27"/>
          <w:szCs w:val="27"/>
        </w:rPr>
        <w:t>挂牌时间截止，网上交易系统进行</w:t>
      </w:r>
      <w:r>
        <w:rPr>
          <w:rStyle w:val="10"/>
          <w:rFonts w:ascii="微软雅黑" w:hAnsi="微软雅黑" w:eastAsia="微软雅黑"/>
          <w:b w:val="0"/>
          <w:bCs w:val="0"/>
          <w:sz w:val="27"/>
          <w:szCs w:val="27"/>
        </w:rPr>
        <w:t>4</w:t>
      </w:r>
      <w:r>
        <w:rPr>
          <w:rStyle w:val="10"/>
          <w:rFonts w:hint="eastAsia" w:ascii="微软雅黑" w:hAnsi="微软雅黑" w:eastAsia="微软雅黑"/>
          <w:b w:val="0"/>
          <w:bCs w:val="0"/>
          <w:sz w:val="27"/>
          <w:szCs w:val="27"/>
        </w:rPr>
        <w:t>分钟倒计时，提示竞买人限时竞价即将开始，系统默认等待期结束自动进入限时竞价。</w:t>
      </w:r>
    </w:p>
    <w:p>
      <w:pPr>
        <w:pStyle w:val="7"/>
        <w:shd w:val="clear"/>
        <w:spacing w:before="75" w:beforeAutospacing="0" w:after="75" w:afterAutospacing="0"/>
        <w:rPr>
          <w:rStyle w:val="10"/>
          <w:rFonts w:ascii="微软雅黑" w:hAnsi="微软雅黑" w:eastAsia="微软雅黑"/>
          <w:b w:val="0"/>
          <w:bCs w:val="0"/>
          <w:color w:val="2F5496" w:themeColor="accent1" w:themeShade="BF"/>
          <w:sz w:val="27"/>
          <w:szCs w:val="27"/>
        </w:rPr>
      </w:pPr>
      <w:r>
        <w:drawing>
          <wp:inline distT="0" distB="0" distL="114300" distR="114300">
            <wp:extent cx="5266690" cy="2817495"/>
            <wp:effectExtent l="0" t="0" r="10160" b="190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3"/>
                    <a:stretch>
                      <a:fillRect/>
                    </a:stretch>
                  </pic:blipFill>
                  <pic:spPr>
                    <a:xfrm>
                      <a:off x="0" y="0"/>
                      <a:ext cx="5266690" cy="2817495"/>
                    </a:xfrm>
                    <a:prstGeom prst="rect">
                      <a:avLst/>
                    </a:prstGeom>
                    <a:noFill/>
                    <a:ln>
                      <a:noFill/>
                    </a:ln>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Cs w:val="0"/>
          <w:sz w:val="27"/>
          <w:szCs w:val="27"/>
        </w:rPr>
      </w:pPr>
      <w:r>
        <w:rPr>
          <w:rStyle w:val="10"/>
          <w:rFonts w:hint="eastAsia" w:ascii="微软雅黑" w:hAnsi="微软雅黑" w:eastAsia="微软雅黑"/>
          <w:sz w:val="27"/>
          <w:szCs w:val="27"/>
        </w:rPr>
        <w:t>2、限时竞价期。</w:t>
      </w:r>
      <w:r>
        <w:rPr>
          <w:rStyle w:val="10"/>
          <w:rFonts w:hint="eastAsia" w:ascii="微软雅黑" w:hAnsi="微软雅黑" w:eastAsia="微软雅黑"/>
          <w:b w:val="0"/>
          <w:bCs w:val="0"/>
          <w:sz w:val="27"/>
          <w:szCs w:val="27"/>
        </w:rPr>
        <w:t>等待期</w:t>
      </w:r>
      <w:r>
        <w:rPr>
          <w:rStyle w:val="10"/>
          <w:rFonts w:ascii="微软雅黑" w:hAnsi="微软雅黑" w:eastAsia="微软雅黑"/>
          <w:b w:val="0"/>
          <w:bCs w:val="0"/>
          <w:sz w:val="27"/>
          <w:szCs w:val="27"/>
        </w:rPr>
        <w:t>结束</w:t>
      </w:r>
      <w:r>
        <w:rPr>
          <w:rStyle w:val="10"/>
          <w:rFonts w:hint="eastAsia" w:ascii="微软雅黑" w:hAnsi="微软雅黑" w:eastAsia="微软雅黑"/>
          <w:b w:val="0"/>
          <w:bCs w:val="0"/>
          <w:sz w:val="27"/>
          <w:szCs w:val="27"/>
        </w:rPr>
        <w:t>，系统自动进入限时竞价阶段，系统自动以高于当前最高报价一个增</w:t>
      </w:r>
      <w:r>
        <w:rPr>
          <w:rStyle w:val="10"/>
          <w:rFonts w:hint="eastAsia" w:ascii="微软雅黑" w:hAnsi="微软雅黑" w:eastAsia="微软雅黑"/>
          <w:b w:val="0"/>
          <w:bCs w:val="0"/>
          <w:sz w:val="27"/>
          <w:szCs w:val="27"/>
          <w:lang w:val="en-US" w:eastAsia="zh-CN"/>
        </w:rPr>
        <w:t>价</w:t>
      </w:r>
      <w:r>
        <w:rPr>
          <w:rStyle w:val="10"/>
          <w:rFonts w:hint="eastAsia" w:ascii="微软雅黑" w:hAnsi="微软雅黑" w:eastAsia="微软雅黑"/>
          <w:b w:val="0"/>
          <w:bCs w:val="0"/>
          <w:sz w:val="27"/>
          <w:szCs w:val="27"/>
        </w:rPr>
        <w:t>幅度的价格为竞价期的起始价组织网上限时竞价，以后的每次报价都在当前最高报价的基础上以增价幅度的整数倍递增。该阶段设置报价限时为4分钟，4分钟内任意竞买人提交新的报价，系统都会重新开始4分钟倒计时。</w:t>
      </w:r>
    </w:p>
    <w:p>
      <w:pPr>
        <w:pStyle w:val="7"/>
        <w:shd w:val="clear"/>
        <w:spacing w:before="75" w:beforeAutospacing="0" w:after="75" w:afterAutospacing="0"/>
        <w:rPr>
          <w:rStyle w:val="10"/>
          <w:rFonts w:ascii="微软雅黑" w:hAnsi="微软雅黑" w:eastAsia="微软雅黑"/>
          <w:b w:val="0"/>
          <w:bCs w:val="0"/>
          <w:color w:val="2F5496" w:themeColor="accent1" w:themeShade="BF"/>
          <w:sz w:val="27"/>
          <w:szCs w:val="27"/>
        </w:rPr>
      </w:pPr>
      <w:r>
        <w:drawing>
          <wp:inline distT="0" distB="0" distL="114300" distR="114300">
            <wp:extent cx="5264785" cy="2498090"/>
            <wp:effectExtent l="0" t="0" r="12065" b="1651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24"/>
                    <a:stretch>
                      <a:fillRect/>
                    </a:stretch>
                  </pic:blipFill>
                  <pic:spPr>
                    <a:xfrm>
                      <a:off x="0" y="0"/>
                      <a:ext cx="5264785" cy="2498090"/>
                    </a:xfrm>
                    <a:prstGeom prst="rect">
                      <a:avLst/>
                    </a:prstGeom>
                    <a:noFill/>
                    <a:ln>
                      <a:noFill/>
                    </a:ln>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每次4分钟倒计时的最后1分钟内，系统会出现该宗地限时竞价即将截止的3次提示（如下图所示）。任何一次报价提交后的4分钟倒计时截止，没有竞买人提交新的报价，则限时竞价结束，系统将不再接受新的报价，系统将显示最高报价及竞价结果。</w:t>
      </w:r>
    </w:p>
    <w:p>
      <w:pPr>
        <w:pStyle w:val="7"/>
        <w:shd w:val="clear"/>
        <w:spacing w:before="75" w:beforeAutospacing="0" w:after="75" w:afterAutospacing="0"/>
        <w:rPr>
          <w:rStyle w:val="10"/>
          <w:rFonts w:ascii="微软雅黑" w:hAnsi="微软雅黑" w:eastAsia="微软雅黑"/>
          <w:b w:val="0"/>
          <w:bCs w:val="0"/>
          <w:color w:val="2F5496" w:themeColor="accent1" w:themeShade="BF"/>
          <w:sz w:val="27"/>
          <w:szCs w:val="27"/>
        </w:rPr>
      </w:pPr>
      <w:r>
        <w:drawing>
          <wp:inline distT="0" distB="0" distL="114300" distR="114300">
            <wp:extent cx="5271135" cy="2637790"/>
            <wp:effectExtent l="0" t="0" r="5715" b="1016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5"/>
                    <a:stretch>
                      <a:fillRect/>
                    </a:stretch>
                  </pic:blipFill>
                  <pic:spPr>
                    <a:xfrm>
                      <a:off x="0" y="0"/>
                      <a:ext cx="5271135" cy="2637790"/>
                    </a:xfrm>
                    <a:prstGeom prst="rect">
                      <a:avLst/>
                    </a:prstGeom>
                    <a:noFill/>
                    <a:ln>
                      <a:noFill/>
                    </a:ln>
                  </pic:spPr>
                </pic:pic>
              </a:graphicData>
            </a:graphic>
          </wp:inline>
        </w:drawing>
      </w:r>
    </w:p>
    <w:p>
      <w:pPr>
        <w:pStyle w:val="7"/>
        <w:shd w:val="clear"/>
        <w:spacing w:before="75" w:beforeAutospacing="0" w:after="75" w:afterAutospacing="0"/>
        <w:ind w:firstLine="270" w:firstLineChars="100"/>
      </w:pPr>
      <w:r>
        <w:rPr>
          <w:rStyle w:val="10"/>
          <w:rFonts w:hint="eastAsia" w:ascii="微软雅黑" w:hAnsi="微软雅黑" w:eastAsia="微软雅黑"/>
          <w:bCs w:val="0"/>
          <w:sz w:val="27"/>
          <w:szCs w:val="27"/>
        </w:rPr>
        <w:t>注意：若挂牌期截止当天，有多宗资源进入网上限时竞价，系统按项目交易排序时间依次组织开展竞价。</w:t>
      </w:r>
    </w:p>
    <w:p>
      <w:pPr>
        <w:pStyle w:val="7"/>
        <w:shd w:val="clear"/>
        <w:spacing w:before="75" w:beforeAutospacing="0" w:after="75" w:afterAutospacing="0"/>
      </w:pPr>
      <w:r>
        <w:drawing>
          <wp:inline distT="0" distB="0" distL="0" distR="0">
            <wp:extent cx="5274310" cy="16135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5274310" cy="1613535"/>
                    </a:xfrm>
                    <a:prstGeom prst="rect">
                      <a:avLst/>
                    </a:prstGeom>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5" w:name="_Toc11388"/>
      <w:r>
        <w:rPr>
          <w:rFonts w:hint="eastAsia" w:ascii="微软雅黑" w:hAnsi="微软雅黑" w:eastAsia="微软雅黑" w:cs="微软雅黑"/>
          <w:b/>
          <w:sz w:val="32"/>
          <w:szCs w:val="32"/>
        </w:rPr>
        <w:t>颁发最高报价人确认书</w:t>
      </w:r>
      <w:bookmarkEnd w:id="5"/>
    </w:p>
    <w:p>
      <w:pPr>
        <w:pStyle w:val="7"/>
        <w:numPr>
          <w:ilvl w:val="0"/>
          <w:numId w:val="7"/>
        </w:numPr>
        <w:shd w:val="clear"/>
        <w:spacing w:before="75" w:beforeAutospacing="0" w:after="75" w:afterAutospacing="0"/>
        <w:rPr>
          <w:rStyle w:val="10"/>
          <w:b w:val="0"/>
          <w:bCs w:val="0"/>
        </w:rPr>
      </w:pPr>
      <w:r>
        <w:rPr>
          <w:rStyle w:val="10"/>
          <w:rFonts w:hint="eastAsia" w:ascii="微软雅黑" w:hAnsi="微软雅黑" w:eastAsia="微软雅黑"/>
          <w:bCs w:val="0"/>
          <w:color w:val="000000" w:themeColor="text1"/>
          <w:sz w:val="27"/>
          <w:szCs w:val="27"/>
        </w:rPr>
        <w:t>最高报价人上传附件。</w:t>
      </w:r>
      <w:r>
        <w:rPr>
          <w:rStyle w:val="10"/>
          <w:rFonts w:hint="eastAsia" w:ascii="微软雅黑" w:hAnsi="微软雅黑" w:eastAsia="微软雅黑"/>
          <w:b w:val="0"/>
          <w:bCs w:val="0"/>
          <w:color w:val="000000" w:themeColor="text1"/>
          <w:sz w:val="27"/>
          <w:szCs w:val="27"/>
        </w:rPr>
        <w:t>当您竞买成功，点击下图中的“上传审查附件”上传附件并提交审核。</w:t>
      </w:r>
      <w:r>
        <w:drawing>
          <wp:inline distT="0" distB="0" distL="114300" distR="114300">
            <wp:extent cx="5271135" cy="2680335"/>
            <wp:effectExtent l="0" t="0" r="5715" b="5715"/>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27"/>
                    <a:stretch>
                      <a:fillRect/>
                    </a:stretch>
                  </pic:blipFill>
                  <pic:spPr>
                    <a:xfrm>
                      <a:off x="0" y="0"/>
                      <a:ext cx="5271135" cy="2680335"/>
                    </a:xfrm>
                    <a:prstGeom prst="rect">
                      <a:avLst/>
                    </a:prstGeom>
                    <a:noFill/>
                    <a:ln>
                      <a:noFill/>
                    </a:ln>
                  </pic:spPr>
                </pic:pic>
              </a:graphicData>
            </a:graphic>
          </wp:inline>
        </w:drawing>
      </w:r>
    </w:p>
    <w:p>
      <w:pPr>
        <w:pStyle w:val="7"/>
        <w:shd w:val="clear"/>
        <w:spacing w:before="75" w:beforeAutospacing="0" w:after="75" w:afterAutospacing="0"/>
        <w:ind w:firstLine="405" w:firstLineChars="150"/>
        <w:rPr>
          <w:b/>
        </w:rPr>
      </w:pPr>
      <w:r>
        <w:rPr>
          <w:rStyle w:val="10"/>
          <w:rFonts w:hint="eastAsia" w:ascii="微软雅黑" w:hAnsi="微软雅黑" w:eastAsia="微软雅黑"/>
          <w:b w:val="0"/>
          <w:bCs w:val="0"/>
          <w:color w:val="000000" w:themeColor="text1"/>
          <w:sz w:val="27"/>
          <w:szCs w:val="27"/>
        </w:rPr>
        <w:t>您也可以在“个人中心-我的交易-竞价完成的交易”页面中找到对应资源上传。或点击页面顶端的“待办事项”找到对应任务栏，完成该项操作。</w:t>
      </w:r>
    </w:p>
    <w:p>
      <w:pPr>
        <w:pStyle w:val="7"/>
        <w:shd w:val="clear"/>
        <w:spacing w:before="75" w:beforeAutospacing="0" w:after="75" w:afterAutospacing="0"/>
      </w:pPr>
      <w:r>
        <w:drawing>
          <wp:inline distT="0" distB="0" distL="114300" distR="114300">
            <wp:extent cx="5264785" cy="2506980"/>
            <wp:effectExtent l="0" t="0" r="12065" b="762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28"/>
                    <a:stretch>
                      <a:fillRect/>
                    </a:stretch>
                  </pic:blipFill>
                  <pic:spPr>
                    <a:xfrm>
                      <a:off x="0" y="0"/>
                      <a:ext cx="5264785" cy="2506980"/>
                    </a:xfrm>
                    <a:prstGeom prst="rect">
                      <a:avLst/>
                    </a:prstGeom>
                    <a:noFill/>
                    <a:ln>
                      <a:noFill/>
                    </a:ln>
                  </pic:spPr>
                </pic:pic>
              </a:graphicData>
            </a:graphic>
          </wp:inline>
        </w:drawing>
      </w:r>
    </w:p>
    <w:p>
      <w:pPr>
        <w:pStyle w:val="7"/>
        <w:numPr>
          <w:ilvl w:val="0"/>
          <w:numId w:val="7"/>
        </w:numPr>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Cs w:val="0"/>
          <w:color w:val="000000" w:themeColor="text1"/>
          <w:sz w:val="27"/>
          <w:szCs w:val="27"/>
        </w:rPr>
        <w:t>交易中心核发确认书。</w:t>
      </w:r>
      <w:r>
        <w:rPr>
          <w:rStyle w:val="10"/>
          <w:rFonts w:hint="eastAsia" w:ascii="微软雅黑" w:hAnsi="微软雅黑" w:eastAsia="微软雅黑"/>
          <w:b w:val="0"/>
          <w:bCs w:val="0"/>
          <w:color w:val="000000" w:themeColor="text1"/>
          <w:sz w:val="27"/>
          <w:szCs w:val="27"/>
        </w:rPr>
        <w:t>交易中心管理员审核无误后，系统向最高报价人颁发《最高报价人确认书》，您</w:t>
      </w:r>
      <w:r>
        <w:rPr>
          <w:rStyle w:val="10"/>
          <w:rFonts w:hint="eastAsia" w:ascii="微软雅黑" w:hAnsi="微软雅黑" w:eastAsia="微软雅黑"/>
          <w:b w:val="0"/>
          <w:color w:val="000000" w:themeColor="text1"/>
          <w:sz w:val="27"/>
          <w:szCs w:val="27"/>
        </w:rPr>
        <w:t>可在“个人中心-我的文档-最高报价人确认书”页面进行查看。若上传资料有误，交易中心管理员将驳回申请，您修改完善后再次提交。</w:t>
      </w:r>
    </w:p>
    <w:p>
      <w:pPr>
        <w:pStyle w:val="7"/>
        <w:shd w:val="clear"/>
        <w:spacing w:before="75" w:beforeAutospacing="0" w:after="75" w:afterAutospacing="0"/>
        <w:rPr>
          <w:rStyle w:val="10"/>
          <w:rFonts w:ascii="微软雅黑" w:hAnsi="微软雅黑" w:eastAsia="微软雅黑"/>
          <w:b w:val="0"/>
          <w:color w:val="2F5496" w:themeColor="accent1" w:themeShade="BF"/>
          <w:sz w:val="27"/>
          <w:szCs w:val="27"/>
        </w:rPr>
      </w:pPr>
      <w:r>
        <w:drawing>
          <wp:inline distT="0" distB="0" distL="114300" distR="114300">
            <wp:extent cx="5271135" cy="2732405"/>
            <wp:effectExtent l="0" t="0" r="5715" b="1079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29"/>
                    <a:stretch>
                      <a:fillRect/>
                    </a:stretch>
                  </pic:blipFill>
                  <pic:spPr>
                    <a:xfrm>
                      <a:off x="0" y="0"/>
                      <a:ext cx="5271135" cy="2732405"/>
                    </a:xfrm>
                    <a:prstGeom prst="rect">
                      <a:avLst/>
                    </a:prstGeom>
                    <a:noFill/>
                    <a:ln>
                      <a:noFill/>
                    </a:ln>
                  </pic:spPr>
                </pic:pic>
              </a:graphicData>
            </a:graphic>
          </wp:inline>
        </w:drawing>
      </w:r>
    </w:p>
    <w:p>
      <w:pPr>
        <w:pStyle w:val="7"/>
        <w:shd w:val="clear"/>
        <w:spacing w:before="75" w:beforeAutospacing="0" w:after="75" w:afterAutospacing="0"/>
        <w:rPr>
          <w:b/>
          <w:bCs/>
          <w:color w:val="333333"/>
          <w:shd w:val="clear" w:color="auto" w:fill="FFFFFF"/>
        </w:rPr>
      </w:pPr>
    </w:p>
    <w:p>
      <w:pPr>
        <w:pStyle w:val="2"/>
        <w:numPr>
          <w:ilvl w:val="0"/>
          <w:numId w:val="1"/>
        </w:numPr>
        <w:bidi w:val="0"/>
        <w:rPr>
          <w:rFonts w:hint="eastAsia" w:ascii="微软雅黑" w:hAnsi="微软雅黑" w:eastAsia="微软雅黑" w:cs="微软雅黑"/>
          <w:b/>
          <w:sz w:val="32"/>
          <w:szCs w:val="32"/>
        </w:rPr>
      </w:pPr>
      <w:bookmarkStart w:id="6" w:name="_Toc31683"/>
      <w:r>
        <w:rPr>
          <w:rFonts w:hint="eastAsia" w:ascii="微软雅黑" w:hAnsi="微软雅黑" w:eastAsia="微软雅黑" w:cs="微软雅黑"/>
          <w:b/>
          <w:sz w:val="32"/>
          <w:szCs w:val="32"/>
        </w:rPr>
        <w:t>成交确认</w:t>
      </w:r>
      <w:bookmarkEnd w:id="6"/>
    </w:p>
    <w:p>
      <w:pPr>
        <w:pStyle w:val="7"/>
        <w:numPr>
          <w:ilvl w:val="0"/>
          <w:numId w:val="8"/>
        </w:numPr>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Cs w:val="0"/>
          <w:color w:val="000000" w:themeColor="text1"/>
          <w:sz w:val="27"/>
          <w:szCs w:val="27"/>
        </w:rPr>
        <w:t>资格审查。</w:t>
      </w:r>
      <w:r>
        <w:rPr>
          <w:rStyle w:val="10"/>
          <w:rFonts w:hint="eastAsia" w:ascii="微软雅黑" w:hAnsi="微软雅黑" w:eastAsia="微软雅黑"/>
          <w:b w:val="0"/>
          <w:bCs w:val="0"/>
          <w:color w:val="000000" w:themeColor="text1"/>
          <w:sz w:val="27"/>
          <w:szCs w:val="27"/>
        </w:rPr>
        <w:t>您在取得《最高报价人确认书》之后，点击进入“我的交易-竞价完成的交易”页面，按《须知》要求上传附件资料申请资格审查。</w:t>
      </w:r>
      <w:r>
        <w:rPr>
          <w:rStyle w:val="10"/>
          <w:rFonts w:hint="eastAsia" w:ascii="微软雅黑" w:hAnsi="微软雅黑" w:eastAsia="微软雅黑"/>
          <w:b w:val="0"/>
          <w:color w:val="000000" w:themeColor="text1"/>
          <w:sz w:val="27"/>
          <w:szCs w:val="27"/>
        </w:rPr>
        <w:t>您也可以点击页面顶端的“待办事项”找到对应任务栏，完成该项操作。若上传资料内容有误，自然资源行政主管部门将驳回申请，竞买人修改完善后再次提交。</w:t>
      </w:r>
    </w:p>
    <w:p>
      <w:pPr>
        <w:pStyle w:val="7"/>
        <w:shd w:val="clear"/>
        <w:spacing w:before="75" w:beforeAutospacing="0" w:after="75" w:afterAutospacing="0"/>
        <w:rPr>
          <w:rStyle w:val="10"/>
          <w:rFonts w:ascii="微软雅黑" w:hAnsi="微软雅黑" w:eastAsia="微软雅黑"/>
          <w:b w:val="0"/>
          <w:color w:val="000000" w:themeColor="text1"/>
          <w:sz w:val="27"/>
          <w:szCs w:val="27"/>
        </w:rPr>
      </w:pPr>
      <w:r>
        <w:drawing>
          <wp:inline distT="0" distB="0" distL="114300" distR="114300">
            <wp:extent cx="5264785" cy="2775585"/>
            <wp:effectExtent l="0" t="0" r="1206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5264785" cy="2775585"/>
                    </a:xfrm>
                    <a:prstGeom prst="rect">
                      <a:avLst/>
                    </a:prstGeom>
                    <a:noFill/>
                    <a:ln>
                      <a:noFill/>
                    </a:ln>
                  </pic:spPr>
                </pic:pic>
              </a:graphicData>
            </a:graphic>
          </wp:inline>
        </w:drawing>
      </w:r>
    </w:p>
    <w:p>
      <w:pPr>
        <w:pStyle w:val="7"/>
        <w:shd w:val="clear"/>
        <w:spacing w:before="75" w:beforeAutospacing="0" w:after="75" w:afterAutospacing="0"/>
        <w:ind w:firstLine="540" w:firstLineChars="200"/>
        <w:rPr>
          <w:rStyle w:val="10"/>
          <w:rFonts w:ascii="微软雅黑" w:hAnsi="微软雅黑" w:eastAsia="微软雅黑"/>
          <w:b w:val="0"/>
          <w:color w:val="FF0000"/>
          <w:sz w:val="27"/>
          <w:szCs w:val="27"/>
        </w:rPr>
      </w:pPr>
      <w:r>
        <w:rPr>
          <w:rStyle w:val="10"/>
          <w:rFonts w:hint="eastAsia" w:ascii="微软雅黑" w:hAnsi="微软雅黑" w:eastAsia="微软雅黑"/>
          <w:b w:val="0"/>
          <w:bCs w:val="0"/>
          <w:color w:val="000000" w:themeColor="text1"/>
          <w:sz w:val="27"/>
          <w:szCs w:val="27"/>
        </w:rPr>
        <w:t>自然资源行政主管部门在收到您提交的资格审查申请后，若上传附件内容无误，将选择“线下资格审查”、“线上资格审查”中的其中一种方式组织审查。</w:t>
      </w:r>
    </w:p>
    <w:p>
      <w:pPr>
        <w:pStyle w:val="7"/>
        <w:shd w:val="clear"/>
        <w:spacing w:before="75" w:beforeAutospacing="0" w:after="75" w:afterAutospacing="0"/>
        <w:rPr>
          <w:rStyle w:val="10"/>
          <w:rFonts w:ascii="微软雅黑" w:hAnsi="微软雅黑" w:eastAsia="微软雅黑"/>
          <w:bCs w:val="0"/>
          <w:color w:val="000000" w:themeColor="text1"/>
          <w:sz w:val="27"/>
          <w:szCs w:val="27"/>
        </w:rPr>
      </w:pPr>
      <w:r>
        <w:rPr>
          <w:rStyle w:val="10"/>
          <w:rFonts w:hint="eastAsia" w:ascii="微软雅黑" w:hAnsi="微软雅黑" w:eastAsia="微软雅黑"/>
          <w:bCs w:val="0"/>
          <w:color w:val="000000" w:themeColor="text1"/>
          <w:sz w:val="27"/>
          <w:szCs w:val="27"/>
        </w:rPr>
        <w:t>1、线下审查。</w:t>
      </w:r>
      <w:r>
        <w:rPr>
          <w:rStyle w:val="10"/>
          <w:rFonts w:hint="eastAsia" w:ascii="微软雅黑" w:hAnsi="微软雅黑" w:eastAsia="微软雅黑"/>
          <w:b w:val="0"/>
          <w:color w:val="000000" w:themeColor="text1"/>
          <w:sz w:val="27"/>
          <w:szCs w:val="27"/>
        </w:rPr>
        <w:t>若</w:t>
      </w:r>
      <w:r>
        <w:rPr>
          <w:rStyle w:val="10"/>
          <w:rFonts w:hint="eastAsia" w:ascii="微软雅黑" w:hAnsi="微软雅黑" w:eastAsia="微软雅黑"/>
          <w:b w:val="0"/>
          <w:bCs w:val="0"/>
          <w:color w:val="000000" w:themeColor="text1"/>
          <w:sz w:val="27"/>
          <w:szCs w:val="27"/>
        </w:rPr>
        <w:t>《须知》中明确以“</w:t>
      </w:r>
      <w:r>
        <w:rPr>
          <w:rStyle w:val="10"/>
          <w:rFonts w:hint="eastAsia" w:ascii="微软雅黑" w:hAnsi="微软雅黑" w:eastAsia="微软雅黑"/>
          <w:b w:val="0"/>
          <w:color w:val="000000" w:themeColor="text1"/>
          <w:sz w:val="27"/>
          <w:szCs w:val="27"/>
        </w:rPr>
        <w:t>线下</w:t>
      </w:r>
      <w:r>
        <w:rPr>
          <w:rStyle w:val="10"/>
          <w:rFonts w:hint="eastAsia" w:ascii="微软雅黑" w:hAnsi="微软雅黑" w:eastAsia="微软雅黑"/>
          <w:b w:val="0"/>
          <w:bCs w:val="0"/>
          <w:color w:val="000000" w:themeColor="text1"/>
          <w:sz w:val="27"/>
          <w:szCs w:val="27"/>
        </w:rPr>
        <w:t>”</w:t>
      </w:r>
      <w:r>
        <w:rPr>
          <w:rStyle w:val="10"/>
          <w:rFonts w:hint="eastAsia" w:ascii="微软雅黑" w:hAnsi="微软雅黑" w:eastAsia="微软雅黑"/>
          <w:b w:val="0"/>
          <w:color w:val="000000" w:themeColor="text1"/>
          <w:sz w:val="27"/>
          <w:szCs w:val="27"/>
        </w:rPr>
        <w:t>方式组织资格审查，您需携带资格审查要求的所有材料的原件，前往相应的自然资源行政主管部门办理。</w:t>
      </w:r>
    </w:p>
    <w:p>
      <w:pPr>
        <w:pStyle w:val="7"/>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Cs w:val="0"/>
          <w:color w:val="000000" w:themeColor="text1"/>
          <w:sz w:val="27"/>
          <w:szCs w:val="27"/>
        </w:rPr>
        <w:t>2、线上审查。</w:t>
      </w:r>
      <w:r>
        <w:rPr>
          <w:rStyle w:val="10"/>
          <w:rFonts w:hint="eastAsia" w:ascii="微软雅黑" w:hAnsi="微软雅黑" w:eastAsia="微软雅黑"/>
          <w:b w:val="0"/>
          <w:color w:val="000000" w:themeColor="text1"/>
          <w:sz w:val="27"/>
          <w:szCs w:val="27"/>
        </w:rPr>
        <w:t>若</w:t>
      </w:r>
      <w:r>
        <w:rPr>
          <w:rStyle w:val="10"/>
          <w:rFonts w:hint="eastAsia" w:ascii="微软雅黑" w:hAnsi="微软雅黑" w:eastAsia="微软雅黑"/>
          <w:b w:val="0"/>
          <w:bCs w:val="0"/>
          <w:color w:val="000000" w:themeColor="text1"/>
          <w:sz w:val="27"/>
          <w:szCs w:val="27"/>
        </w:rPr>
        <w:t>《须知》中明确以</w:t>
      </w:r>
      <w:r>
        <w:rPr>
          <w:rStyle w:val="10"/>
          <w:rFonts w:hint="eastAsia" w:ascii="微软雅黑" w:hAnsi="微软雅黑" w:eastAsia="微软雅黑"/>
          <w:b w:val="0"/>
          <w:color w:val="000000" w:themeColor="text1"/>
          <w:sz w:val="27"/>
          <w:szCs w:val="27"/>
        </w:rPr>
        <w:t>“线上”方式组织资格审查，您按照系统提示上传资格审查所需资料，自然资源行政主管部门收到后将在线审查。</w:t>
      </w:r>
    </w:p>
    <w:p>
      <w:pPr>
        <w:pStyle w:val="7"/>
        <w:numPr>
          <w:ilvl w:val="0"/>
          <w:numId w:val="8"/>
        </w:numPr>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Cs w:val="0"/>
          <w:color w:val="000000" w:themeColor="text1"/>
          <w:sz w:val="27"/>
          <w:szCs w:val="27"/>
        </w:rPr>
        <w:t>签订成交确认书。</w:t>
      </w:r>
      <w:r>
        <w:rPr>
          <w:rStyle w:val="10"/>
          <w:rFonts w:hint="eastAsia" w:ascii="微软雅黑" w:hAnsi="微软雅黑" w:eastAsia="微软雅黑"/>
          <w:b w:val="0"/>
          <w:bCs w:val="0"/>
          <w:color w:val="000000" w:themeColor="text1"/>
          <w:sz w:val="27"/>
          <w:szCs w:val="27"/>
        </w:rPr>
        <w:t>资格审查通过后，自然行政主管部门将组织双方签订《成交确认书》。若资格审查方式为“线下审查”，请您前往相应的自然资源行政主管部门“线下”签订《成交确认书》。若资格审查方式为“线上审查”，自然资源行政主管将“线上”组织签订《成交确认书》。</w:t>
      </w:r>
      <w:r>
        <w:drawing>
          <wp:inline distT="0" distB="0" distL="114300" distR="114300">
            <wp:extent cx="5273675" cy="2520315"/>
            <wp:effectExtent l="0" t="0" r="3175" b="13335"/>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31"/>
                    <a:stretch>
                      <a:fillRect/>
                    </a:stretch>
                  </pic:blipFill>
                  <pic:spPr>
                    <a:xfrm>
                      <a:off x="0" y="0"/>
                      <a:ext cx="5273675" cy="2520315"/>
                    </a:xfrm>
                    <a:prstGeom prst="rect">
                      <a:avLst/>
                    </a:prstGeom>
                    <a:noFill/>
                    <a:ln>
                      <a:noFill/>
                    </a:ln>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7" w:name="_Toc16022"/>
      <w:bookmarkStart w:id="8" w:name="_GoBack"/>
      <w:r>
        <w:rPr>
          <w:rFonts w:hint="eastAsia" w:ascii="微软雅黑" w:hAnsi="微软雅黑" w:eastAsia="微软雅黑" w:cs="微软雅黑"/>
          <w:b/>
          <w:sz w:val="32"/>
          <w:szCs w:val="32"/>
        </w:rPr>
        <w:t>结果公示</w:t>
      </w:r>
      <w:bookmarkEnd w:id="7"/>
    </w:p>
    <w:bookmarkEnd w:id="8"/>
    <w:p>
      <w:pPr>
        <w:pStyle w:val="7"/>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 w:val="0"/>
          <w:color w:val="000000" w:themeColor="text1"/>
          <w:sz w:val="27"/>
          <w:szCs w:val="27"/>
        </w:rPr>
        <w:t>《成交确认书》签订完成后，系统将竞买结果在前台予以公示。</w:t>
      </w:r>
    </w:p>
    <w:p>
      <w:pPr>
        <w:pStyle w:val="7"/>
        <w:shd w:val="clear"/>
        <w:spacing w:before="75" w:beforeAutospacing="0" w:after="75" w:afterAutospacing="0"/>
      </w:pPr>
      <w:r>
        <w:drawing>
          <wp:inline distT="0" distB="0" distL="114300" distR="114300">
            <wp:extent cx="5262245" cy="1871980"/>
            <wp:effectExtent l="0" t="0" r="14605" b="139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2"/>
                    <a:stretch>
                      <a:fillRect/>
                    </a:stretch>
                  </pic:blipFill>
                  <pic:spPr>
                    <a:xfrm>
                      <a:off x="0" y="0"/>
                      <a:ext cx="5262245" cy="1871980"/>
                    </a:xfrm>
                    <a:prstGeom prst="rect">
                      <a:avLst/>
                    </a:prstGeom>
                    <a:noFill/>
                    <a:ln>
                      <a:noFill/>
                    </a:ln>
                  </pic:spPr>
                </pic:pic>
              </a:graphicData>
            </a:graphic>
          </wp:inline>
        </w:drawing>
      </w:r>
    </w:p>
    <w:p>
      <w:pPr>
        <w:pStyle w:val="7"/>
        <w:shd w:val="clear"/>
        <w:spacing w:before="75" w:beforeAutospacing="0" w:after="75" w:afterAutospacing="0"/>
      </w:pPr>
      <w:r>
        <w:drawing>
          <wp:inline distT="0" distB="0" distL="114300" distR="114300">
            <wp:extent cx="5264785" cy="4727575"/>
            <wp:effectExtent l="0" t="0" r="12065" b="15875"/>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1"/>
                    </pic:cNvPicPr>
                  </pic:nvPicPr>
                  <pic:blipFill>
                    <a:blip r:embed="rId33"/>
                    <a:stretch>
                      <a:fillRect/>
                    </a:stretch>
                  </pic:blipFill>
                  <pic:spPr>
                    <a:xfrm>
                      <a:off x="0" y="0"/>
                      <a:ext cx="5264785" cy="47275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41250B"/>
    <w:multiLevelType w:val="singleLevel"/>
    <w:tmpl w:val="8741250B"/>
    <w:lvl w:ilvl="0" w:tentative="0">
      <w:start w:val="1"/>
      <w:numFmt w:val="chineseCounting"/>
      <w:suff w:val="nothing"/>
      <w:lvlText w:val="（%1）"/>
      <w:lvlJc w:val="left"/>
      <w:rPr>
        <w:rFonts w:hint="eastAsia"/>
      </w:rPr>
    </w:lvl>
  </w:abstractNum>
  <w:abstractNum w:abstractNumId="1">
    <w:nsid w:val="C2FC2324"/>
    <w:multiLevelType w:val="singleLevel"/>
    <w:tmpl w:val="C2FC2324"/>
    <w:lvl w:ilvl="0" w:tentative="0">
      <w:start w:val="1"/>
      <w:numFmt w:val="chineseCounting"/>
      <w:suff w:val="nothing"/>
      <w:lvlText w:val="（%1）"/>
      <w:lvlJc w:val="left"/>
      <w:rPr>
        <w:rFonts w:hint="eastAsia"/>
      </w:rPr>
    </w:lvl>
  </w:abstractNum>
  <w:abstractNum w:abstractNumId="2">
    <w:nsid w:val="CBC2D06A"/>
    <w:multiLevelType w:val="singleLevel"/>
    <w:tmpl w:val="CBC2D06A"/>
    <w:lvl w:ilvl="0" w:tentative="0">
      <w:start w:val="1"/>
      <w:numFmt w:val="chineseCounting"/>
      <w:suff w:val="nothing"/>
      <w:lvlText w:val="（%1）"/>
      <w:lvlJc w:val="left"/>
      <w:rPr>
        <w:rFonts w:hint="eastAsia"/>
      </w:rPr>
    </w:lvl>
  </w:abstractNum>
  <w:abstractNum w:abstractNumId="3">
    <w:nsid w:val="12992330"/>
    <w:multiLevelType w:val="multilevel"/>
    <w:tmpl w:val="12992330"/>
    <w:lvl w:ilvl="0" w:tentative="0">
      <w:start w:val="1"/>
      <w:numFmt w:val="decimal"/>
      <w:lvlText w:val="%1."/>
      <w:lvlJc w:val="left"/>
      <w:pPr>
        <w:ind w:left="372" w:hanging="372"/>
      </w:pPr>
      <w:rPr>
        <w:rFonts w:hint="default"/>
        <w:b w:val="0"/>
        <w:i/>
        <w:color w:val="CD100B"/>
        <w:sz w:val="45"/>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B383D1"/>
    <w:multiLevelType w:val="singleLevel"/>
    <w:tmpl w:val="18B383D1"/>
    <w:lvl w:ilvl="0" w:tentative="0">
      <w:start w:val="1"/>
      <w:numFmt w:val="chineseCounting"/>
      <w:suff w:val="nothing"/>
      <w:lvlText w:val="（%1）"/>
      <w:lvlJc w:val="left"/>
      <w:rPr>
        <w:rFonts w:hint="eastAsia"/>
      </w:rPr>
    </w:lvl>
  </w:abstractNum>
  <w:abstractNum w:abstractNumId="5">
    <w:nsid w:val="47FF8E18"/>
    <w:multiLevelType w:val="singleLevel"/>
    <w:tmpl w:val="47FF8E18"/>
    <w:lvl w:ilvl="0" w:tentative="0">
      <w:start w:val="1"/>
      <w:numFmt w:val="chineseCounting"/>
      <w:suff w:val="nothing"/>
      <w:lvlText w:val="（%1）"/>
      <w:lvlJc w:val="left"/>
      <w:rPr>
        <w:rFonts w:hint="eastAsia"/>
      </w:rPr>
    </w:lvl>
  </w:abstractNum>
  <w:abstractNum w:abstractNumId="6">
    <w:nsid w:val="52761CFA"/>
    <w:multiLevelType w:val="singleLevel"/>
    <w:tmpl w:val="52761CFA"/>
    <w:lvl w:ilvl="0" w:tentative="0">
      <w:start w:val="1"/>
      <w:numFmt w:val="chineseCounting"/>
      <w:suff w:val="nothing"/>
      <w:lvlText w:val="（%1）"/>
      <w:lvlJc w:val="left"/>
      <w:rPr>
        <w:rFonts w:hint="eastAsia"/>
      </w:rPr>
    </w:lvl>
  </w:abstractNum>
  <w:abstractNum w:abstractNumId="7">
    <w:nsid w:val="57C9E575"/>
    <w:multiLevelType w:val="singleLevel"/>
    <w:tmpl w:val="57C9E575"/>
    <w:lvl w:ilvl="0" w:tentative="0">
      <w:start w:val="2"/>
      <w:numFmt w:val="decimal"/>
      <w:suff w:val="nothing"/>
      <w:lvlText w:val="%1、"/>
      <w:lvlJc w:val="left"/>
    </w:lvl>
  </w:abstractNum>
  <w:num w:numId="1">
    <w:abstractNumId w:val="3"/>
  </w:num>
  <w:num w:numId="2">
    <w:abstractNumId w:val="6"/>
  </w:num>
  <w:num w:numId="3">
    <w:abstractNumId w:val="5"/>
  </w:num>
  <w:num w:numId="4">
    <w:abstractNumId w:val="7"/>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04860"/>
    <w:rsid w:val="000049A6"/>
    <w:rsid w:val="000170C1"/>
    <w:rsid w:val="000205E6"/>
    <w:rsid w:val="00033CEB"/>
    <w:rsid w:val="00047D05"/>
    <w:rsid w:val="00055FAE"/>
    <w:rsid w:val="00072B3F"/>
    <w:rsid w:val="00090D25"/>
    <w:rsid w:val="000D27BD"/>
    <w:rsid w:val="000D7233"/>
    <w:rsid w:val="000E0694"/>
    <w:rsid w:val="00112303"/>
    <w:rsid w:val="001201C6"/>
    <w:rsid w:val="00144A51"/>
    <w:rsid w:val="00182046"/>
    <w:rsid w:val="001B5C7C"/>
    <w:rsid w:val="001C316F"/>
    <w:rsid w:val="001D3A2B"/>
    <w:rsid w:val="001E06A6"/>
    <w:rsid w:val="001E74D9"/>
    <w:rsid w:val="001F083D"/>
    <w:rsid w:val="001F3B4A"/>
    <w:rsid w:val="001F4A7C"/>
    <w:rsid w:val="002119D4"/>
    <w:rsid w:val="00213CEE"/>
    <w:rsid w:val="00216D3B"/>
    <w:rsid w:val="002302B8"/>
    <w:rsid w:val="00251DFD"/>
    <w:rsid w:val="00260213"/>
    <w:rsid w:val="00281D7E"/>
    <w:rsid w:val="0028340E"/>
    <w:rsid w:val="002A1CE6"/>
    <w:rsid w:val="002B666B"/>
    <w:rsid w:val="002C285D"/>
    <w:rsid w:val="002D7C5F"/>
    <w:rsid w:val="0036643B"/>
    <w:rsid w:val="00377170"/>
    <w:rsid w:val="003925E3"/>
    <w:rsid w:val="003934FA"/>
    <w:rsid w:val="003969C4"/>
    <w:rsid w:val="003C0703"/>
    <w:rsid w:val="003C72C0"/>
    <w:rsid w:val="003D0E1C"/>
    <w:rsid w:val="003F22DE"/>
    <w:rsid w:val="0040458C"/>
    <w:rsid w:val="00434ABD"/>
    <w:rsid w:val="004410E3"/>
    <w:rsid w:val="00445CD9"/>
    <w:rsid w:val="00451995"/>
    <w:rsid w:val="00477EDA"/>
    <w:rsid w:val="004D22F5"/>
    <w:rsid w:val="004D4A2F"/>
    <w:rsid w:val="00504860"/>
    <w:rsid w:val="00542F22"/>
    <w:rsid w:val="005462D9"/>
    <w:rsid w:val="005568BC"/>
    <w:rsid w:val="005C641D"/>
    <w:rsid w:val="005E6ABE"/>
    <w:rsid w:val="00613A69"/>
    <w:rsid w:val="00615984"/>
    <w:rsid w:val="006167FD"/>
    <w:rsid w:val="0063095A"/>
    <w:rsid w:val="006314F4"/>
    <w:rsid w:val="00631594"/>
    <w:rsid w:val="00631B3E"/>
    <w:rsid w:val="006376B4"/>
    <w:rsid w:val="00656DDE"/>
    <w:rsid w:val="00667926"/>
    <w:rsid w:val="0068440D"/>
    <w:rsid w:val="006A50BD"/>
    <w:rsid w:val="006B281C"/>
    <w:rsid w:val="006D2C8A"/>
    <w:rsid w:val="006E1CC9"/>
    <w:rsid w:val="0070059C"/>
    <w:rsid w:val="00711960"/>
    <w:rsid w:val="00721C1D"/>
    <w:rsid w:val="00744D93"/>
    <w:rsid w:val="007618B2"/>
    <w:rsid w:val="007749BB"/>
    <w:rsid w:val="00777D70"/>
    <w:rsid w:val="0078577B"/>
    <w:rsid w:val="007867D3"/>
    <w:rsid w:val="0079697B"/>
    <w:rsid w:val="007B2D71"/>
    <w:rsid w:val="007C1D96"/>
    <w:rsid w:val="007D3E55"/>
    <w:rsid w:val="007E63A7"/>
    <w:rsid w:val="0082213A"/>
    <w:rsid w:val="008528ED"/>
    <w:rsid w:val="00855E64"/>
    <w:rsid w:val="00864C3B"/>
    <w:rsid w:val="00882F83"/>
    <w:rsid w:val="008A4C03"/>
    <w:rsid w:val="008A73E9"/>
    <w:rsid w:val="008B5B30"/>
    <w:rsid w:val="008C2E3A"/>
    <w:rsid w:val="009009C3"/>
    <w:rsid w:val="009364D3"/>
    <w:rsid w:val="00946EB0"/>
    <w:rsid w:val="00995339"/>
    <w:rsid w:val="009D2737"/>
    <w:rsid w:val="009E7170"/>
    <w:rsid w:val="009F532A"/>
    <w:rsid w:val="00A116AB"/>
    <w:rsid w:val="00A278E6"/>
    <w:rsid w:val="00A52DFB"/>
    <w:rsid w:val="00AC20D1"/>
    <w:rsid w:val="00AE5763"/>
    <w:rsid w:val="00B02F18"/>
    <w:rsid w:val="00B50F71"/>
    <w:rsid w:val="00B57D78"/>
    <w:rsid w:val="00B62ABE"/>
    <w:rsid w:val="00B72CFE"/>
    <w:rsid w:val="00B9267F"/>
    <w:rsid w:val="00BA1FDA"/>
    <w:rsid w:val="00BD3578"/>
    <w:rsid w:val="00BD4D07"/>
    <w:rsid w:val="00BD5EBC"/>
    <w:rsid w:val="00BE4A5F"/>
    <w:rsid w:val="00BF2337"/>
    <w:rsid w:val="00C058ED"/>
    <w:rsid w:val="00C132C1"/>
    <w:rsid w:val="00C15063"/>
    <w:rsid w:val="00C20426"/>
    <w:rsid w:val="00C35FFA"/>
    <w:rsid w:val="00C41E8B"/>
    <w:rsid w:val="00C512BF"/>
    <w:rsid w:val="00C540CA"/>
    <w:rsid w:val="00C85D9A"/>
    <w:rsid w:val="00C93C08"/>
    <w:rsid w:val="00CB02F6"/>
    <w:rsid w:val="00CD17F8"/>
    <w:rsid w:val="00CF2447"/>
    <w:rsid w:val="00CF52EA"/>
    <w:rsid w:val="00D442B5"/>
    <w:rsid w:val="00D472AF"/>
    <w:rsid w:val="00D52A63"/>
    <w:rsid w:val="00D75F8A"/>
    <w:rsid w:val="00D760A6"/>
    <w:rsid w:val="00D80854"/>
    <w:rsid w:val="00D91BD5"/>
    <w:rsid w:val="00DB4BF4"/>
    <w:rsid w:val="00DB5168"/>
    <w:rsid w:val="00DD7572"/>
    <w:rsid w:val="00DE594D"/>
    <w:rsid w:val="00DF6369"/>
    <w:rsid w:val="00E01D2A"/>
    <w:rsid w:val="00E020E9"/>
    <w:rsid w:val="00E25D5C"/>
    <w:rsid w:val="00E33EFE"/>
    <w:rsid w:val="00E52641"/>
    <w:rsid w:val="00E96E02"/>
    <w:rsid w:val="00EA3220"/>
    <w:rsid w:val="00EA4667"/>
    <w:rsid w:val="00EE001F"/>
    <w:rsid w:val="00F07FD6"/>
    <w:rsid w:val="00F23B97"/>
    <w:rsid w:val="00F32B0D"/>
    <w:rsid w:val="00F34213"/>
    <w:rsid w:val="00F459B5"/>
    <w:rsid w:val="00F57058"/>
    <w:rsid w:val="00F6722B"/>
    <w:rsid w:val="00F72E49"/>
    <w:rsid w:val="00F74A7E"/>
    <w:rsid w:val="00F837BE"/>
    <w:rsid w:val="00FB47E3"/>
    <w:rsid w:val="00FC0C3F"/>
    <w:rsid w:val="00FC2A94"/>
    <w:rsid w:val="00FC6C15"/>
    <w:rsid w:val="00FE4EAA"/>
    <w:rsid w:val="048D68B2"/>
    <w:rsid w:val="052D3356"/>
    <w:rsid w:val="05B039F6"/>
    <w:rsid w:val="07242C9E"/>
    <w:rsid w:val="09A256FC"/>
    <w:rsid w:val="09DE5295"/>
    <w:rsid w:val="0A2B0445"/>
    <w:rsid w:val="0ACD53CC"/>
    <w:rsid w:val="0B606EAF"/>
    <w:rsid w:val="0BD04AD2"/>
    <w:rsid w:val="0C115947"/>
    <w:rsid w:val="0C483B09"/>
    <w:rsid w:val="0C8219B7"/>
    <w:rsid w:val="0D494104"/>
    <w:rsid w:val="0DE86493"/>
    <w:rsid w:val="0F3E08C6"/>
    <w:rsid w:val="130E7A45"/>
    <w:rsid w:val="15A05F62"/>
    <w:rsid w:val="15A06AB6"/>
    <w:rsid w:val="166533E2"/>
    <w:rsid w:val="17E1708E"/>
    <w:rsid w:val="183067D2"/>
    <w:rsid w:val="193A5DD5"/>
    <w:rsid w:val="1B09079E"/>
    <w:rsid w:val="1C822C90"/>
    <w:rsid w:val="1D6565AA"/>
    <w:rsid w:val="1D745A6A"/>
    <w:rsid w:val="1DCF2DFB"/>
    <w:rsid w:val="220F1975"/>
    <w:rsid w:val="22AC6EC7"/>
    <w:rsid w:val="271953CB"/>
    <w:rsid w:val="27F03CD7"/>
    <w:rsid w:val="28131ADA"/>
    <w:rsid w:val="282109A1"/>
    <w:rsid w:val="290C130D"/>
    <w:rsid w:val="2E602C6F"/>
    <w:rsid w:val="2E631CFA"/>
    <w:rsid w:val="2F2F72F2"/>
    <w:rsid w:val="2F3F269F"/>
    <w:rsid w:val="2F6B53D3"/>
    <w:rsid w:val="2F7465BF"/>
    <w:rsid w:val="2FBB1705"/>
    <w:rsid w:val="330E2857"/>
    <w:rsid w:val="337C09A2"/>
    <w:rsid w:val="35315CFF"/>
    <w:rsid w:val="355C49D6"/>
    <w:rsid w:val="362B3D1B"/>
    <w:rsid w:val="372C0D92"/>
    <w:rsid w:val="3AA1202A"/>
    <w:rsid w:val="3B907D1F"/>
    <w:rsid w:val="3B985692"/>
    <w:rsid w:val="3D5910E3"/>
    <w:rsid w:val="3D8F3E98"/>
    <w:rsid w:val="3F662D93"/>
    <w:rsid w:val="408416C5"/>
    <w:rsid w:val="40A63267"/>
    <w:rsid w:val="41E36423"/>
    <w:rsid w:val="423E08FB"/>
    <w:rsid w:val="443D3E54"/>
    <w:rsid w:val="44E578FC"/>
    <w:rsid w:val="4723549F"/>
    <w:rsid w:val="48E21238"/>
    <w:rsid w:val="4C551569"/>
    <w:rsid w:val="4DF774E6"/>
    <w:rsid w:val="513736D0"/>
    <w:rsid w:val="56316421"/>
    <w:rsid w:val="56716191"/>
    <w:rsid w:val="56FF7C72"/>
    <w:rsid w:val="57917842"/>
    <w:rsid w:val="57C878DF"/>
    <w:rsid w:val="5C263076"/>
    <w:rsid w:val="5F15705D"/>
    <w:rsid w:val="605804AE"/>
    <w:rsid w:val="60F949A4"/>
    <w:rsid w:val="61985599"/>
    <w:rsid w:val="63335E5D"/>
    <w:rsid w:val="64FD0AA6"/>
    <w:rsid w:val="66BA2B14"/>
    <w:rsid w:val="67AC492E"/>
    <w:rsid w:val="6898582A"/>
    <w:rsid w:val="69140CB2"/>
    <w:rsid w:val="6ACB3963"/>
    <w:rsid w:val="6B0012CD"/>
    <w:rsid w:val="6B055D41"/>
    <w:rsid w:val="6D6B1639"/>
    <w:rsid w:val="6E7F1B39"/>
    <w:rsid w:val="70747E13"/>
    <w:rsid w:val="72A740EB"/>
    <w:rsid w:val="733274E3"/>
    <w:rsid w:val="75355133"/>
    <w:rsid w:val="76B50C9A"/>
    <w:rsid w:val="76B90EBE"/>
    <w:rsid w:val="78716107"/>
    <w:rsid w:val="787B333C"/>
    <w:rsid w:val="78AD0673"/>
    <w:rsid w:val="7C394F49"/>
    <w:rsid w:val="7CB97DE6"/>
    <w:rsid w:val="7E9429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FollowedHyperlink"/>
    <w:basedOn w:val="9"/>
    <w:semiHidden/>
    <w:unhideWhenUsed/>
    <w:qFormat/>
    <w:uiPriority w:val="99"/>
    <w:rPr>
      <w:color w:val="954F72" w:themeColor="followedHyperlink"/>
      <w:u w:val="single"/>
    </w:rPr>
  </w:style>
  <w:style w:type="character" w:styleId="12">
    <w:name w:val="Emphasis"/>
    <w:basedOn w:val="9"/>
    <w:qFormat/>
    <w:uiPriority w:val="20"/>
    <w:rPr>
      <w:i/>
      <w:iCs/>
    </w:rPr>
  </w:style>
  <w:style w:type="character" w:styleId="13">
    <w:name w:val="Hyperlink"/>
    <w:basedOn w:val="9"/>
    <w:unhideWhenUsed/>
    <w:qFormat/>
    <w:uiPriority w:val="99"/>
    <w:rPr>
      <w:color w:val="0000FF"/>
      <w:u w:val="single"/>
    </w:rPr>
  </w:style>
  <w:style w:type="character" w:customStyle="1" w:styleId="14">
    <w:name w:val="页眉 Char"/>
    <w:basedOn w:val="9"/>
    <w:link w:val="6"/>
    <w:qFormat/>
    <w:uiPriority w:val="99"/>
    <w:rPr>
      <w:sz w:val="18"/>
      <w:szCs w:val="18"/>
    </w:rPr>
  </w:style>
  <w:style w:type="character" w:customStyle="1" w:styleId="15">
    <w:name w:val="页脚 Char"/>
    <w:basedOn w:val="9"/>
    <w:link w:val="5"/>
    <w:qFormat/>
    <w:uiPriority w:val="99"/>
    <w:rPr>
      <w:sz w:val="18"/>
      <w:szCs w:val="18"/>
    </w:rPr>
  </w:style>
  <w:style w:type="character" w:customStyle="1" w:styleId="16">
    <w:name w:val="标题 3 Char"/>
    <w:basedOn w:val="9"/>
    <w:link w:val="3"/>
    <w:qFormat/>
    <w:uiPriority w:val="9"/>
    <w:rPr>
      <w:rFonts w:ascii="宋体" w:hAnsi="宋体" w:eastAsia="宋体" w:cs="宋体"/>
      <w:b/>
      <w:bCs/>
      <w:kern w:val="0"/>
      <w:sz w:val="27"/>
      <w:szCs w:val="27"/>
    </w:rPr>
  </w:style>
  <w:style w:type="character" w:customStyle="1" w:styleId="17">
    <w:name w:val="批注框文本 Char"/>
    <w:basedOn w:val="9"/>
    <w:link w:val="4"/>
    <w:semiHidden/>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未处理的提及1"/>
    <w:basedOn w:val="9"/>
    <w:semiHidden/>
    <w:unhideWhenUsed/>
    <w:qFormat/>
    <w:uiPriority w:val="99"/>
    <w:rPr>
      <w:color w:val="605E5C"/>
      <w:shd w:val="clear" w:color="auto" w:fill="E1DFDD"/>
    </w:rPr>
  </w:style>
  <w:style w:type="paragraph" w:customStyle="1" w:styleId="20">
    <w:name w:val="正文 A"/>
    <w:qFormat/>
    <w:uiPriority w:val="0"/>
    <w:pPr>
      <w:widowControl w:val="0"/>
      <w:jc w:val="both"/>
    </w:pPr>
    <w:rPr>
      <w:rFonts w:hint="eastAsia" w:ascii="Arial Unicode MS" w:hAnsi="Arial Unicode MS" w:eastAsia="宋体" w:cs="Arial Unicode MS"/>
      <w:color w:val="000000"/>
      <w:kern w:val="2"/>
      <w:sz w:val="21"/>
      <w:szCs w:val="21"/>
      <w:u w:color="000000"/>
      <w:lang w:val="en-US" w:eastAsia="zh-CN" w:bidi="ar-SA"/>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19</Pages>
  <Words>387</Words>
  <Characters>2209</Characters>
  <Lines>18</Lines>
  <Paragraphs>5</Paragraphs>
  <TotalTime>44</TotalTime>
  <ScaleCrop>false</ScaleCrop>
  <LinksUpToDate>false</LinksUpToDate>
  <CharactersWithSpaces>2591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2019-10-17T02:25:00Z</dcterms:created>
  <dc:creator>姜 家龙</dc:creator>
  <cp:lastModifiedBy>acer</cp:lastModifiedBy>
  <dcterms:modified xsi:type="dcterms:W3CDTF">2020-08-13T08:00:10Z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