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44"/>
          <w:szCs w:val="44"/>
        </w:rPr>
      </w:pPr>
    </w:p>
    <w:p>
      <w:pPr>
        <w:jc w:val="center"/>
        <w:rPr>
          <w:b/>
          <w:sz w:val="44"/>
          <w:szCs w:val="44"/>
        </w:rPr>
      </w:pPr>
    </w:p>
    <w:p>
      <w:pPr>
        <w:jc w:val="center"/>
        <w:rPr>
          <w:b/>
          <w:sz w:val="44"/>
          <w:szCs w:val="44"/>
        </w:rPr>
      </w:pPr>
    </w:p>
    <w:p>
      <w:pPr>
        <w:pStyle w:val="4"/>
        <w:keepNext w:val="0"/>
        <w:keepLines w:val="0"/>
        <w:widowControl/>
        <w:tabs>
          <w:tab w:val="clear" w:pos="1800"/>
        </w:tabs>
        <w:spacing w:before="0" w:after="0" w:line="525" w:lineRule="atLeast"/>
        <w:ind w:left="-420" w:firstLine="1044" w:firstLineChars="200"/>
        <w:jc w:val="center"/>
        <w:rPr>
          <w:rFonts w:cs="Times New Roman"/>
          <w:bCs w:val="0"/>
          <w:w w:val="100"/>
          <w:kern w:val="2"/>
          <w:sz w:val="52"/>
          <w:szCs w:val="52"/>
        </w:rPr>
      </w:pPr>
      <w:r>
        <w:rPr>
          <w:rFonts w:hint="eastAsia" w:cs="Times New Roman"/>
          <w:bCs w:val="0"/>
          <w:w w:val="100"/>
          <w:kern w:val="2"/>
          <w:sz w:val="52"/>
          <w:szCs w:val="52"/>
        </w:rPr>
        <w:t>西中心T3裙楼购物中心1层至5层经营权项目</w:t>
      </w:r>
    </w:p>
    <w:p>
      <w:pPr>
        <w:jc w:val="center"/>
        <w:rPr>
          <w:b/>
          <w:sz w:val="100"/>
        </w:rPr>
      </w:pPr>
    </w:p>
    <w:p>
      <w:pPr>
        <w:jc w:val="center"/>
        <w:rPr>
          <w:b/>
          <w:sz w:val="100"/>
        </w:rPr>
      </w:pPr>
    </w:p>
    <w:p>
      <w:pPr>
        <w:jc w:val="center"/>
        <w:rPr>
          <w:b/>
          <w:sz w:val="100"/>
        </w:rPr>
      </w:pPr>
      <w:r>
        <w:rPr>
          <w:rFonts w:hint="eastAsia"/>
          <w:b/>
          <w:sz w:val="100"/>
        </w:rPr>
        <w:t>招 标 文 件</w:t>
      </w:r>
    </w:p>
    <w:p>
      <w:pPr>
        <w:jc w:val="center"/>
        <w:rPr>
          <w:b/>
          <w:color w:val="FF0000"/>
          <w:sz w:val="32"/>
          <w:szCs w:val="32"/>
        </w:rPr>
      </w:pPr>
    </w:p>
    <w:p>
      <w:pPr>
        <w:widowControl/>
        <w:ind w:firstLine="1890" w:firstLineChars="900"/>
        <w:jc w:val="left"/>
      </w:pPr>
    </w:p>
    <w:p>
      <w:pPr>
        <w:jc w:val="center"/>
        <w:rPr>
          <w:b/>
          <w:color w:val="FF0000"/>
          <w:sz w:val="32"/>
          <w:szCs w:val="32"/>
        </w:rPr>
      </w:pPr>
    </w:p>
    <w:p>
      <w:pPr>
        <w:jc w:val="center"/>
        <w:rPr>
          <w:b/>
          <w:sz w:val="32"/>
          <w:szCs w:val="32"/>
        </w:rPr>
      </w:pPr>
    </w:p>
    <w:p>
      <w:pPr>
        <w:jc w:val="center"/>
        <w:rPr>
          <w:b/>
          <w:sz w:val="72"/>
        </w:rPr>
      </w:pPr>
    </w:p>
    <w:p>
      <w:pPr>
        <w:jc w:val="center"/>
        <w:rPr>
          <w:b/>
          <w:sz w:val="72"/>
        </w:rPr>
      </w:pPr>
    </w:p>
    <w:p>
      <w:pPr>
        <w:rPr>
          <w:sz w:val="36"/>
        </w:rPr>
      </w:pPr>
    </w:p>
    <w:p>
      <w:pPr>
        <w:ind w:left="1260"/>
        <w:rPr>
          <w:sz w:val="36"/>
        </w:rPr>
      </w:pPr>
    </w:p>
    <w:p>
      <w:pPr>
        <w:ind w:left="1260"/>
        <w:rPr>
          <w:sz w:val="36"/>
        </w:rPr>
      </w:pPr>
    </w:p>
    <w:p>
      <w:pPr>
        <w:ind w:left="1260"/>
        <w:rPr>
          <w:sz w:val="36"/>
        </w:rPr>
      </w:pPr>
    </w:p>
    <w:p>
      <w:pPr>
        <w:spacing w:line="360" w:lineRule="auto"/>
        <w:ind w:firstLine="1446" w:firstLineChars="450"/>
        <w:rPr>
          <w:b/>
          <w:sz w:val="32"/>
          <w:szCs w:val="32"/>
        </w:rPr>
      </w:pPr>
    </w:p>
    <w:p>
      <w:pPr>
        <w:spacing w:line="360" w:lineRule="auto"/>
        <w:ind w:firstLine="1446" w:firstLineChars="450"/>
        <w:rPr>
          <w:b/>
          <w:color w:val="FF0000"/>
          <w:sz w:val="32"/>
          <w:szCs w:val="32"/>
        </w:rPr>
      </w:pPr>
      <w:r>
        <w:rPr>
          <w:rFonts w:hint="eastAsia"/>
          <w:b/>
          <w:sz w:val="32"/>
          <w:szCs w:val="32"/>
        </w:rPr>
        <w:t>招   标   人：长沙先导恒通商业管理有限公司</w:t>
      </w:r>
    </w:p>
    <w:p>
      <w:pPr>
        <w:spacing w:line="360" w:lineRule="auto"/>
        <w:jc w:val="center"/>
        <w:rPr>
          <w:b/>
          <w:sz w:val="32"/>
          <w:szCs w:val="32"/>
        </w:rPr>
      </w:pPr>
      <w:r>
        <w:rPr>
          <w:rFonts w:hint="eastAsia"/>
          <w:b/>
          <w:sz w:val="32"/>
          <w:szCs w:val="32"/>
        </w:rPr>
        <w:t>二〇二〇年三月</w:t>
      </w:r>
    </w:p>
    <w:p>
      <w:pPr>
        <w:rPr>
          <w:b/>
          <w:bCs/>
          <w:sz w:val="44"/>
        </w:rPr>
      </w:pPr>
      <w:r>
        <w:br w:type="page"/>
      </w:r>
    </w:p>
    <w:p>
      <w:pPr>
        <w:jc w:val="center"/>
        <w:rPr>
          <w:b/>
          <w:bCs/>
          <w:sz w:val="44"/>
        </w:rPr>
      </w:pPr>
      <w:r>
        <w:rPr>
          <w:rFonts w:hint="eastAsia"/>
          <w:b/>
          <w:bCs/>
          <w:sz w:val="44"/>
        </w:rPr>
        <w:t>目      录</w:t>
      </w:r>
    </w:p>
    <w:p>
      <w:pPr>
        <w:jc w:val="center"/>
      </w:pPr>
    </w:p>
    <w:p>
      <w:pPr>
        <w:pStyle w:val="22"/>
        <w:tabs>
          <w:tab w:val="right" w:leader="dot" w:pos="9628"/>
        </w:tabs>
        <w:spacing w:line="800" w:lineRule="exact"/>
        <w:rPr>
          <w:b w:val="0"/>
          <w:bCs w:val="0"/>
          <w:kern w:val="2"/>
          <w:sz w:val="21"/>
          <w:szCs w:val="24"/>
        </w:rPr>
      </w:pPr>
      <w:r>
        <w:rPr>
          <w:b w:val="0"/>
          <w:bCs w:val="0"/>
        </w:rPr>
        <w:fldChar w:fldCharType="begin"/>
      </w:r>
      <w:r>
        <w:rPr>
          <w:b w:val="0"/>
          <w:bCs w:val="0"/>
        </w:rPr>
        <w:instrText xml:space="preserve"> TOC \o "1-3" \h \z \u </w:instrText>
      </w:r>
      <w:r>
        <w:rPr>
          <w:b w:val="0"/>
          <w:bCs w:val="0"/>
        </w:rPr>
        <w:fldChar w:fldCharType="separate"/>
      </w:r>
      <w:r>
        <w:fldChar w:fldCharType="begin"/>
      </w:r>
      <w:r>
        <w:instrText xml:space="preserve"> HYPERLINK \l "_Toc321052819" </w:instrText>
      </w:r>
      <w:r>
        <w:fldChar w:fldCharType="separate"/>
      </w:r>
      <w:r>
        <w:rPr>
          <w:rStyle w:val="39"/>
          <w:rFonts w:hint="eastAsia"/>
        </w:rPr>
        <w:t>第一章</w:t>
      </w:r>
      <w:r>
        <w:rPr>
          <w:rStyle w:val="39"/>
        </w:rPr>
        <w:t xml:space="preserve">  </w:t>
      </w:r>
      <w:r>
        <w:rPr>
          <w:rStyle w:val="39"/>
          <w:rFonts w:hint="eastAsia"/>
        </w:rPr>
        <w:t>招标公告</w:t>
      </w:r>
      <w:r>
        <w:tab/>
      </w:r>
      <w:r>
        <w:fldChar w:fldCharType="begin"/>
      </w:r>
      <w:r>
        <w:instrText xml:space="preserve"> PAGEREF _Toc321052819 \h </w:instrText>
      </w:r>
      <w:r>
        <w:fldChar w:fldCharType="separate"/>
      </w:r>
      <w:r>
        <w:t>3</w:t>
      </w:r>
      <w:r>
        <w:fldChar w:fldCharType="end"/>
      </w:r>
      <w:r>
        <w:fldChar w:fldCharType="end"/>
      </w:r>
    </w:p>
    <w:p>
      <w:pPr>
        <w:pStyle w:val="22"/>
        <w:tabs>
          <w:tab w:val="right" w:leader="dot" w:pos="9628"/>
        </w:tabs>
        <w:spacing w:line="800" w:lineRule="exact"/>
        <w:rPr>
          <w:b w:val="0"/>
          <w:bCs w:val="0"/>
          <w:kern w:val="2"/>
          <w:sz w:val="21"/>
          <w:szCs w:val="24"/>
        </w:rPr>
      </w:pPr>
      <w:r>
        <w:fldChar w:fldCharType="begin"/>
      </w:r>
      <w:r>
        <w:instrText xml:space="preserve"> HYPERLINK \l "_Toc321052820" </w:instrText>
      </w:r>
      <w:r>
        <w:fldChar w:fldCharType="separate"/>
      </w:r>
      <w:r>
        <w:rPr>
          <w:rStyle w:val="39"/>
          <w:rFonts w:hint="eastAsia"/>
        </w:rPr>
        <w:t>第二章</w:t>
      </w:r>
      <w:r>
        <w:rPr>
          <w:rStyle w:val="39"/>
        </w:rPr>
        <w:t xml:space="preserve">  </w:t>
      </w:r>
      <w:r>
        <w:rPr>
          <w:rStyle w:val="39"/>
          <w:rFonts w:hint="eastAsia"/>
        </w:rPr>
        <w:t>投标人须知</w:t>
      </w:r>
      <w:r>
        <w:tab/>
      </w:r>
      <w:r>
        <w:fldChar w:fldCharType="begin"/>
      </w:r>
      <w:r>
        <w:instrText xml:space="preserve"> PAGEREF _Toc321052820 \h </w:instrText>
      </w:r>
      <w:r>
        <w:fldChar w:fldCharType="separate"/>
      </w:r>
      <w:r>
        <w:t>7</w:t>
      </w:r>
      <w:r>
        <w:fldChar w:fldCharType="end"/>
      </w:r>
      <w:r>
        <w:fldChar w:fldCharType="end"/>
      </w:r>
    </w:p>
    <w:p>
      <w:pPr>
        <w:pStyle w:val="22"/>
        <w:tabs>
          <w:tab w:val="right" w:leader="dot" w:pos="9628"/>
        </w:tabs>
        <w:spacing w:line="800" w:lineRule="exact"/>
        <w:rPr>
          <w:b w:val="0"/>
          <w:bCs w:val="0"/>
          <w:kern w:val="2"/>
          <w:sz w:val="21"/>
          <w:szCs w:val="24"/>
        </w:rPr>
      </w:pPr>
      <w:r>
        <w:fldChar w:fldCharType="begin"/>
      </w:r>
      <w:r>
        <w:instrText xml:space="preserve"> HYPERLINK \l "_Toc321052830" </w:instrText>
      </w:r>
      <w:r>
        <w:fldChar w:fldCharType="separate"/>
      </w:r>
      <w:r>
        <w:rPr>
          <w:rStyle w:val="39"/>
          <w:rFonts w:hint="eastAsia"/>
        </w:rPr>
        <w:t>第三章</w:t>
      </w:r>
      <w:r>
        <w:rPr>
          <w:rStyle w:val="39"/>
        </w:rPr>
        <w:t xml:space="preserve">  </w:t>
      </w:r>
      <w:r>
        <w:rPr>
          <w:rStyle w:val="39"/>
          <w:rFonts w:hint="eastAsia"/>
        </w:rPr>
        <w:t>项目相关情况说明及要求</w:t>
      </w:r>
      <w:r>
        <w:tab/>
      </w:r>
      <w:r>
        <w:fldChar w:fldCharType="begin"/>
      </w:r>
      <w:r>
        <w:instrText xml:space="preserve"> PAGEREF _Toc321052830 \h </w:instrText>
      </w:r>
      <w:r>
        <w:fldChar w:fldCharType="separate"/>
      </w:r>
      <w:r>
        <w:t>17</w:t>
      </w:r>
      <w:r>
        <w:fldChar w:fldCharType="end"/>
      </w:r>
      <w:r>
        <w:fldChar w:fldCharType="end"/>
      </w:r>
    </w:p>
    <w:p>
      <w:pPr>
        <w:pStyle w:val="22"/>
        <w:tabs>
          <w:tab w:val="right" w:leader="dot" w:pos="9628"/>
        </w:tabs>
        <w:spacing w:line="800" w:lineRule="exact"/>
        <w:rPr>
          <w:b w:val="0"/>
          <w:bCs w:val="0"/>
          <w:kern w:val="2"/>
          <w:sz w:val="21"/>
          <w:szCs w:val="24"/>
        </w:rPr>
      </w:pPr>
      <w:r>
        <w:fldChar w:fldCharType="begin"/>
      </w:r>
      <w:r>
        <w:instrText xml:space="preserve"> HYPERLINK \l "_Toc321052833" </w:instrText>
      </w:r>
      <w:r>
        <w:fldChar w:fldCharType="separate"/>
      </w:r>
      <w:r>
        <w:rPr>
          <w:rStyle w:val="39"/>
          <w:rFonts w:hint="eastAsia"/>
        </w:rPr>
        <w:t>第四章</w:t>
      </w:r>
      <w:r>
        <w:rPr>
          <w:rStyle w:val="39"/>
        </w:rPr>
        <w:t xml:space="preserve">  </w:t>
      </w:r>
      <w:r>
        <w:rPr>
          <w:rStyle w:val="39"/>
          <w:rFonts w:hint="eastAsia"/>
        </w:rPr>
        <w:t>合同格式</w:t>
      </w:r>
      <w:r>
        <w:tab/>
      </w:r>
      <w:r>
        <w:fldChar w:fldCharType="begin"/>
      </w:r>
      <w:r>
        <w:instrText xml:space="preserve"> PAGEREF _Toc321052833 \h </w:instrText>
      </w:r>
      <w:r>
        <w:fldChar w:fldCharType="separate"/>
      </w:r>
      <w:r>
        <w:t>20</w:t>
      </w:r>
      <w:r>
        <w:fldChar w:fldCharType="end"/>
      </w:r>
      <w:r>
        <w:fldChar w:fldCharType="end"/>
      </w:r>
    </w:p>
    <w:p>
      <w:pPr>
        <w:pStyle w:val="22"/>
        <w:tabs>
          <w:tab w:val="right" w:leader="dot" w:pos="9628"/>
        </w:tabs>
        <w:spacing w:line="800" w:lineRule="exact"/>
        <w:rPr>
          <w:b w:val="0"/>
          <w:bCs w:val="0"/>
          <w:kern w:val="2"/>
          <w:sz w:val="21"/>
          <w:szCs w:val="24"/>
        </w:rPr>
      </w:pPr>
      <w:r>
        <w:fldChar w:fldCharType="begin"/>
      </w:r>
      <w:r>
        <w:instrText xml:space="preserve"> HYPERLINK \l "_Toc321052834" </w:instrText>
      </w:r>
      <w:r>
        <w:fldChar w:fldCharType="separate"/>
      </w:r>
      <w:r>
        <w:rPr>
          <w:rStyle w:val="39"/>
          <w:rFonts w:hint="eastAsia"/>
        </w:rPr>
        <w:t>第五章</w:t>
      </w:r>
      <w:r>
        <w:rPr>
          <w:rStyle w:val="39"/>
        </w:rPr>
        <w:t xml:space="preserve">  </w:t>
      </w:r>
      <w:r>
        <w:rPr>
          <w:rStyle w:val="39"/>
          <w:rFonts w:hint="eastAsia"/>
        </w:rPr>
        <w:t>投标文件格式</w:t>
      </w:r>
      <w:r>
        <w:tab/>
      </w:r>
      <w:r>
        <w:fldChar w:fldCharType="begin"/>
      </w:r>
      <w:r>
        <w:instrText xml:space="preserve"> PAGEREF _Toc321052834 \h </w:instrText>
      </w:r>
      <w:r>
        <w:fldChar w:fldCharType="separate"/>
      </w:r>
      <w:r>
        <w:t>23</w:t>
      </w:r>
      <w:r>
        <w:fldChar w:fldCharType="end"/>
      </w:r>
      <w:r>
        <w:fldChar w:fldCharType="end"/>
      </w:r>
    </w:p>
    <w:p>
      <w:pPr>
        <w:pStyle w:val="22"/>
        <w:tabs>
          <w:tab w:val="right" w:leader="dot" w:pos="9628"/>
        </w:tabs>
        <w:spacing w:line="800" w:lineRule="exact"/>
        <w:rPr>
          <w:b w:val="0"/>
          <w:bCs w:val="0"/>
          <w:kern w:val="2"/>
          <w:sz w:val="21"/>
          <w:szCs w:val="24"/>
        </w:rPr>
      </w:pPr>
      <w:r>
        <w:fldChar w:fldCharType="begin"/>
      </w:r>
      <w:r>
        <w:instrText xml:space="preserve"> HYPERLINK \l "_Toc321052846" </w:instrText>
      </w:r>
      <w:r>
        <w:fldChar w:fldCharType="separate"/>
      </w:r>
      <w:r>
        <w:rPr>
          <w:rStyle w:val="39"/>
          <w:rFonts w:hint="eastAsia"/>
        </w:rPr>
        <w:t>第六章</w:t>
      </w:r>
      <w:r>
        <w:rPr>
          <w:rStyle w:val="39"/>
        </w:rPr>
        <w:t xml:space="preserve">  </w:t>
      </w:r>
      <w:r>
        <w:rPr>
          <w:rStyle w:val="39"/>
          <w:rFonts w:hint="eastAsia"/>
        </w:rPr>
        <w:t>评标办法</w:t>
      </w:r>
      <w:r>
        <w:tab/>
      </w:r>
      <w:r>
        <w:fldChar w:fldCharType="begin"/>
      </w:r>
      <w:r>
        <w:instrText xml:space="preserve"> PAGEREF _Toc321052846 \h </w:instrText>
      </w:r>
      <w:r>
        <w:fldChar w:fldCharType="separate"/>
      </w:r>
      <w:r>
        <w:t>54</w:t>
      </w:r>
      <w:r>
        <w:fldChar w:fldCharType="end"/>
      </w:r>
      <w:r>
        <w:fldChar w:fldCharType="end"/>
      </w:r>
    </w:p>
    <w:p>
      <w:pPr>
        <w:pStyle w:val="27"/>
        <w:tabs>
          <w:tab w:val="right" w:leader="dot" w:pos="9890"/>
        </w:tabs>
        <w:spacing w:line="800" w:lineRule="exact"/>
      </w:pPr>
      <w:r>
        <w:rPr>
          <w:bCs/>
          <w:kern w:val="44"/>
          <w:szCs w:val="44"/>
        </w:rPr>
        <w:fldChar w:fldCharType="end"/>
      </w:r>
    </w:p>
    <w:p>
      <w:pPr>
        <w:pStyle w:val="2"/>
        <w:spacing w:line="480" w:lineRule="exact"/>
        <w:jc w:val="center"/>
      </w:pPr>
      <w:r>
        <w:rPr>
          <w:sz w:val="24"/>
        </w:rPr>
        <w:br w:type="page"/>
      </w:r>
      <w:bookmarkStart w:id="0" w:name="_Toc321052819"/>
      <w:r>
        <w:rPr>
          <w:rFonts w:hint="eastAsia"/>
        </w:rPr>
        <w:t xml:space="preserve">第一章  </w:t>
      </w:r>
      <w:bookmarkEnd w:id="0"/>
      <w:r>
        <w:rPr>
          <w:rFonts w:hint="eastAsia"/>
        </w:rPr>
        <w:t>招标公告</w:t>
      </w:r>
    </w:p>
    <w:p>
      <w:pPr>
        <w:tabs>
          <w:tab w:val="left" w:pos="7920"/>
        </w:tabs>
        <w:spacing w:line="480" w:lineRule="exact"/>
        <w:ind w:left="-94" w:leftChars="-45" w:right="15" w:rightChars="7" w:firstLine="576" w:firstLineChars="240"/>
        <w:rPr>
          <w:sz w:val="24"/>
        </w:rPr>
      </w:pPr>
      <w:r>
        <w:rPr>
          <w:rFonts w:hint="eastAsia"/>
          <w:sz w:val="24"/>
        </w:rPr>
        <w:t>西中心T3裙楼购物中心1层至5层经营权项目，招标人为长沙先导恒通商业管理有限公司，项目已具备招标条件，现对该项目进行公开招标。</w:t>
      </w:r>
    </w:p>
    <w:p>
      <w:pPr>
        <w:spacing w:line="480" w:lineRule="exact"/>
        <w:rPr>
          <w:b/>
          <w:bCs/>
          <w:sz w:val="24"/>
        </w:rPr>
      </w:pPr>
      <w:r>
        <w:rPr>
          <w:rFonts w:hint="eastAsia"/>
          <w:b/>
          <w:bCs/>
          <w:sz w:val="24"/>
        </w:rPr>
        <w:t>一、项目概况</w:t>
      </w:r>
    </w:p>
    <w:p>
      <w:pPr>
        <w:tabs>
          <w:tab w:val="left" w:pos="7920"/>
        </w:tabs>
        <w:spacing w:line="480" w:lineRule="exact"/>
        <w:ind w:left="-94" w:leftChars="-45" w:right="15" w:rightChars="7" w:firstLine="576" w:firstLineChars="240"/>
        <w:rPr>
          <w:sz w:val="24"/>
        </w:rPr>
      </w:pPr>
      <w:r>
        <w:rPr>
          <w:rFonts w:hint="eastAsia"/>
          <w:sz w:val="24"/>
        </w:rPr>
        <w:t>1、项目名称：西中心T3裙楼购物中心1层至5层经营权项目。</w:t>
      </w:r>
    </w:p>
    <w:p>
      <w:pPr>
        <w:tabs>
          <w:tab w:val="left" w:pos="7920"/>
        </w:tabs>
        <w:spacing w:line="480" w:lineRule="exact"/>
        <w:ind w:left="-94" w:leftChars="-45" w:right="15" w:rightChars="7" w:firstLine="576" w:firstLineChars="240"/>
        <w:rPr>
          <w:sz w:val="24"/>
        </w:rPr>
      </w:pPr>
      <w:r>
        <w:rPr>
          <w:rFonts w:hint="eastAsia"/>
          <w:sz w:val="24"/>
        </w:rPr>
        <w:t>2、项目地点：位于长沙市岳麓区湘江新区综合交通枢纽。</w:t>
      </w:r>
    </w:p>
    <w:p>
      <w:pPr>
        <w:tabs>
          <w:tab w:val="left" w:pos="7920"/>
        </w:tabs>
        <w:spacing w:line="480" w:lineRule="exact"/>
        <w:ind w:left="-94" w:leftChars="-45" w:right="15" w:rightChars="7" w:firstLine="576" w:firstLineChars="240"/>
        <w:rPr>
          <w:sz w:val="24"/>
        </w:rPr>
      </w:pPr>
      <w:r>
        <w:rPr>
          <w:rFonts w:hint="eastAsia"/>
          <w:sz w:val="24"/>
        </w:rPr>
        <w:t>3、招标范围：西中心T3裙楼购物中心1层至5层（建筑面积为</w:t>
      </w:r>
      <w:r>
        <w:rPr>
          <w:sz w:val="24"/>
        </w:rPr>
        <w:t>21290.47</w:t>
      </w:r>
      <w:r>
        <w:rPr>
          <w:rFonts w:hint="eastAsia"/>
          <w:sz w:val="24"/>
        </w:rPr>
        <w:t>平米，最终合同签约面积以房地局测绘报告为准）。本次招标经营权的铺面具体位置及范围以《附件：租赁铺面平面图》中红色框内部分区域为准。</w:t>
      </w:r>
    </w:p>
    <w:p>
      <w:pPr>
        <w:tabs>
          <w:tab w:val="left" w:pos="7920"/>
        </w:tabs>
        <w:spacing w:line="480" w:lineRule="exact"/>
        <w:ind w:left="-94" w:leftChars="-45" w:right="15" w:rightChars="7" w:firstLine="576" w:firstLineChars="240"/>
        <w:rPr>
          <w:sz w:val="24"/>
        </w:rPr>
      </w:pPr>
      <w:r>
        <w:rPr>
          <w:rFonts w:hint="eastAsia"/>
          <w:sz w:val="24"/>
        </w:rPr>
        <w:t>4、合同期限：铺面实际交付之日起，租期16年（含12个月免租期）</w:t>
      </w:r>
    </w:p>
    <w:p>
      <w:pPr>
        <w:tabs>
          <w:tab w:val="left" w:pos="7920"/>
        </w:tabs>
        <w:spacing w:line="480" w:lineRule="exact"/>
        <w:ind w:left="-94" w:leftChars="-45" w:right="15" w:rightChars="7" w:firstLine="576" w:firstLineChars="240"/>
        <w:rPr>
          <w:sz w:val="24"/>
        </w:rPr>
      </w:pPr>
      <w:r>
        <w:rPr>
          <w:rFonts w:hint="eastAsia"/>
          <w:sz w:val="24"/>
        </w:rPr>
        <w:t>5、招标底价：前三年租金起始底价为43元/平米/月（包含场地租金、空调能耗费、基础物业费、税费、物业四周外墙及红线内室外区域的广告活动权益费），前两年给予经营免租期12个月（每年分摊6个月），经营免租期内不需要缴纳租金，但仍需承担8元/㎡/月的空调能耗费。</w:t>
      </w:r>
    </w:p>
    <w:p>
      <w:pPr>
        <w:tabs>
          <w:tab w:val="left" w:pos="7920"/>
        </w:tabs>
        <w:spacing w:line="480" w:lineRule="exact"/>
        <w:ind w:left="-94" w:leftChars="-45" w:right="15" w:rightChars="7" w:firstLine="576" w:firstLineChars="240"/>
        <w:rPr>
          <w:sz w:val="24"/>
        </w:rPr>
      </w:pPr>
      <w:r>
        <w:rPr>
          <w:rFonts w:hint="eastAsia"/>
          <w:sz w:val="24"/>
        </w:rPr>
        <w:t>6、其他商务条件：</w:t>
      </w:r>
      <w:r>
        <w:rPr>
          <w:sz w:val="24"/>
        </w:rPr>
        <w:t>履约保证金为1个月租金</w:t>
      </w:r>
      <w:r>
        <w:rPr>
          <w:rFonts w:hint="eastAsia"/>
          <w:sz w:val="24"/>
        </w:rPr>
        <w:t>，</w:t>
      </w:r>
      <w:r>
        <w:rPr>
          <w:sz w:val="24"/>
        </w:rPr>
        <w:t>首期押一付六，</w:t>
      </w:r>
      <w:r>
        <w:rPr>
          <w:rFonts w:hint="eastAsia"/>
          <w:sz w:val="24"/>
        </w:rPr>
        <w:t>后期按季度支付租金；</w:t>
      </w:r>
      <w:r>
        <w:rPr>
          <w:sz w:val="24"/>
        </w:rPr>
        <w:t>前三年不递增，第四年递增 5 %，第四年（含）开始每两年递增5 %。物业为现状交付，物业管理由中标人自行负责。</w:t>
      </w:r>
    </w:p>
    <w:p>
      <w:pPr>
        <w:tabs>
          <w:tab w:val="left" w:pos="7920"/>
        </w:tabs>
        <w:spacing w:line="480" w:lineRule="exact"/>
        <w:ind w:left="-94" w:leftChars="-45" w:right="15" w:rightChars="7" w:firstLine="576" w:firstLineChars="240"/>
        <w:rPr>
          <w:sz w:val="24"/>
        </w:rPr>
      </w:pPr>
      <w:r>
        <w:rPr>
          <w:rFonts w:hint="eastAsia"/>
          <w:sz w:val="24"/>
        </w:rPr>
        <w:t>7、经营理念：主题性综合商场</w:t>
      </w:r>
    </w:p>
    <w:p>
      <w:pPr>
        <w:tabs>
          <w:tab w:val="left" w:pos="7920"/>
        </w:tabs>
        <w:spacing w:line="480" w:lineRule="exact"/>
        <w:ind w:left="-94" w:leftChars="-45" w:right="15" w:rightChars="7" w:firstLine="576" w:firstLineChars="240"/>
        <w:rPr>
          <w:sz w:val="24"/>
        </w:rPr>
      </w:pPr>
      <w:r>
        <w:rPr>
          <w:rFonts w:hint="eastAsia"/>
          <w:sz w:val="24"/>
        </w:rPr>
        <w:t>8、招标方式：委托公开招标。</w:t>
      </w:r>
    </w:p>
    <w:p>
      <w:pPr>
        <w:tabs>
          <w:tab w:val="left" w:pos="7920"/>
        </w:tabs>
        <w:spacing w:line="480" w:lineRule="exact"/>
        <w:ind w:left="-94" w:leftChars="-45" w:right="15" w:rightChars="7" w:firstLine="576" w:firstLineChars="240"/>
        <w:rPr>
          <w:sz w:val="24"/>
        </w:rPr>
      </w:pPr>
      <w:r>
        <w:rPr>
          <w:rFonts w:hint="eastAsia"/>
          <w:sz w:val="24"/>
        </w:rPr>
        <w:t>9、其它：投标人若中标则愿意接受本条款的约束并履行本条款所设定的义务，具体内容如下：</w:t>
      </w:r>
    </w:p>
    <w:p>
      <w:pPr>
        <w:tabs>
          <w:tab w:val="left" w:pos="7920"/>
        </w:tabs>
        <w:spacing w:line="480" w:lineRule="exact"/>
        <w:ind w:left="-94" w:leftChars="-45" w:right="15" w:rightChars="7" w:firstLine="576" w:firstLineChars="240"/>
        <w:rPr>
          <w:sz w:val="24"/>
        </w:rPr>
      </w:pPr>
      <w:r>
        <w:rPr>
          <w:rFonts w:hint="eastAsia"/>
          <w:sz w:val="24"/>
        </w:rPr>
        <w:t>9.1、投标人在其中标后的30日内出资设立专门的项目运营公司（项目运营公司经营业务仅限于本物业相关的招商运营，且注册资本不低于2000万，中标人持股不低于70%）。</w:t>
      </w:r>
    </w:p>
    <w:p>
      <w:pPr>
        <w:tabs>
          <w:tab w:val="left" w:pos="7920"/>
        </w:tabs>
        <w:spacing w:line="480" w:lineRule="exact"/>
        <w:ind w:left="-94" w:leftChars="-45" w:right="15" w:rightChars="7" w:firstLine="576" w:firstLineChars="240"/>
        <w:rPr>
          <w:sz w:val="24"/>
        </w:rPr>
      </w:pPr>
      <w:r>
        <w:rPr>
          <w:rFonts w:hint="eastAsia"/>
          <w:sz w:val="24"/>
        </w:rPr>
        <w:t>9.2、投标人同意通过股权转让或者其他方式确保物业的原租赁户湖南百合百乐商业管理有限公司（简称：百合百乐公司）或百合百乐公司委托持股的主体，至少持有该项目运营公司30%的股权。</w:t>
      </w:r>
    </w:p>
    <w:p>
      <w:pPr>
        <w:tabs>
          <w:tab w:val="left" w:pos="7920"/>
        </w:tabs>
        <w:spacing w:line="480" w:lineRule="exact"/>
        <w:ind w:left="-94" w:leftChars="-45" w:right="15" w:rightChars="7" w:firstLine="576" w:firstLineChars="240"/>
        <w:rPr>
          <w:sz w:val="24"/>
        </w:rPr>
      </w:pPr>
      <w:r>
        <w:rPr>
          <w:rFonts w:hint="eastAsia"/>
          <w:sz w:val="24"/>
        </w:rPr>
        <w:t>9.3、投标人同意在其中标后的30日内将其在与招标人就物业签订的租赁协议中的全部权利义务转让给项目运营公司并签署相应的权利义务转移协议，由项目运营公司与招标人继续履行租赁协议。</w:t>
      </w:r>
    </w:p>
    <w:p>
      <w:pPr>
        <w:tabs>
          <w:tab w:val="left" w:pos="7920"/>
        </w:tabs>
        <w:spacing w:line="480" w:lineRule="exact"/>
        <w:ind w:left="-94" w:leftChars="-45" w:right="15" w:rightChars="7" w:firstLine="576" w:firstLineChars="240"/>
        <w:rPr>
          <w:sz w:val="24"/>
        </w:rPr>
      </w:pPr>
      <w:r>
        <w:rPr>
          <w:rFonts w:hint="eastAsia"/>
          <w:sz w:val="24"/>
        </w:rPr>
        <w:t>9.4、投标人同意百合百乐公司（或其委托持股的主体）以其持有的项目运营公司不少于30%股权（简称：质押股权）为百合百乐公司向长沙综合交通枢纽建设投资有限公司（简称：交通枢纽公司）偿还2019湘01民初3253号案（2019年8月，交通枢纽公司作为原告诉百合百乐公司租赁合同纠纷案）生效判决或调解书确定的债务金额（简称：历史债务）向交通枢纽公司提供股权质押担保；百合百乐公司的还款计划具体如下：在租赁合同期内（租期为十六年）的第一年和第二年，每年至少偿还150万元，从第三年至第十六年，每年至少偿还200万元(若该年度质押股权的股利分红大于该数值则以股利分红数额为准）；投标人已了解并认可百合百合公司的前述债务情况及还款计划。</w:t>
      </w:r>
    </w:p>
    <w:p>
      <w:pPr>
        <w:tabs>
          <w:tab w:val="left" w:pos="7920"/>
        </w:tabs>
        <w:spacing w:line="480" w:lineRule="exact"/>
        <w:ind w:left="-94" w:leftChars="-45" w:right="15" w:rightChars="7" w:firstLine="576" w:firstLineChars="240"/>
        <w:rPr>
          <w:sz w:val="24"/>
        </w:rPr>
      </w:pPr>
      <w:r>
        <w:rPr>
          <w:rFonts w:hint="eastAsia"/>
          <w:sz w:val="24"/>
        </w:rPr>
        <w:t>9.5投标人同意在租赁合同期内（租期为十六年）质押股权每年的全部股利分红优先偿还百合百合公司对交通枢纽公司的历史债务，并由项目运营公司（在租赁合同权利义务转移协议签订生效前为投标人）直接支付至招标人或交通枢纽公司指定的银行账号；在租赁合同期内项目运营公司（在租赁合同权利义务转移协议签订生效前为投标人）除了缴纳租赁合同约定的租金外，每年还须通过质押股权全部股利分红用以优先偿还百合百乐公司对交通枢纽公司历史债务的方式，在租赁合同期的前两年每年至少向交通枢纽公司支付</w:t>
      </w:r>
      <w:r>
        <w:rPr>
          <w:sz w:val="24"/>
        </w:rPr>
        <w:t>150</w:t>
      </w:r>
      <w:r>
        <w:rPr>
          <w:rFonts w:hint="eastAsia"/>
          <w:sz w:val="24"/>
        </w:rPr>
        <w:t>万元，从第三年至第十六年，每年至少支付</w:t>
      </w:r>
      <w:r>
        <w:rPr>
          <w:sz w:val="24"/>
        </w:rPr>
        <w:t>200</w:t>
      </w:r>
      <w:r>
        <w:rPr>
          <w:rFonts w:hint="eastAsia"/>
          <w:sz w:val="24"/>
        </w:rPr>
        <w:t>万元</w:t>
      </w:r>
      <w:r>
        <w:rPr>
          <w:sz w:val="24"/>
        </w:rPr>
        <w:t>(</w:t>
      </w:r>
      <w:r>
        <w:rPr>
          <w:rFonts w:hint="eastAsia"/>
          <w:sz w:val="24"/>
        </w:rPr>
        <w:t>项目运营公司如盈利则每年至少分红一次，并于次年公历的</w:t>
      </w:r>
      <w:r>
        <w:rPr>
          <w:sz w:val="24"/>
        </w:rPr>
        <w:t>1</w:t>
      </w:r>
      <w:r>
        <w:rPr>
          <w:rFonts w:hint="eastAsia"/>
          <w:sz w:val="24"/>
        </w:rPr>
        <w:t>月</w:t>
      </w:r>
      <w:r>
        <w:rPr>
          <w:sz w:val="24"/>
        </w:rPr>
        <w:t>31</w:t>
      </w:r>
      <w:r>
        <w:rPr>
          <w:rFonts w:hint="eastAsia"/>
          <w:sz w:val="24"/>
        </w:rPr>
        <w:t>日前完成上一年度的股利分红，若该年度质押股权的股利分红大于前述约定的最低金额则以两者较高者为准）。</w:t>
      </w:r>
    </w:p>
    <w:p>
      <w:pPr>
        <w:tabs>
          <w:tab w:val="left" w:pos="7920"/>
        </w:tabs>
        <w:spacing w:line="480" w:lineRule="exact"/>
        <w:ind w:left="-94" w:leftChars="-45" w:right="15" w:rightChars="7" w:firstLine="576" w:firstLineChars="240"/>
        <w:rPr>
          <w:sz w:val="24"/>
        </w:rPr>
      </w:pPr>
      <w:r>
        <w:rPr>
          <w:rFonts w:hint="eastAsia"/>
          <w:sz w:val="24"/>
        </w:rPr>
        <w:t>9.6在租赁合同期内，若百合百乐公司的还款金额与质押股权对应的全部股利分红之和低于该年度百合百乐公司在还款计划中承诺的最低还款金额，则项目运营公司（在租赁合同权利义务转移协议签订生效前为投标人）须对百合百合百乐公司每年的最低还款金额进行兜底代为偿还，并在收到交通枢纽公司书面通知后在其规定的期限内补足差额，否则，招标人有权对项目运营公司或投标人采取包括但不限于停止水、电、气供应并可单方书面通知项目运营公司或投标人解除租赁合同等措施；历史债务偿还、股权质押等具体事宜，在投标人中标后60日内，由招标人、投标人、交通枢纽公司、百合白乐公司及相关方另行签订协议进行约定（注：以上“股利分红”为税后纯利，涉及企业所得税等相关税费均由项目运营公司承担）。</w:t>
      </w:r>
    </w:p>
    <w:p>
      <w:pPr>
        <w:pStyle w:val="29"/>
        <w:spacing w:line="480" w:lineRule="exact"/>
        <w:rPr>
          <w:b/>
          <w:bCs/>
          <w:sz w:val="24"/>
        </w:rPr>
      </w:pPr>
      <w:r>
        <w:rPr>
          <w:rFonts w:hint="eastAsia"/>
          <w:b/>
          <w:bCs/>
          <w:sz w:val="24"/>
        </w:rPr>
        <w:t>二、投标人资格要求</w:t>
      </w:r>
    </w:p>
    <w:p>
      <w:pPr>
        <w:tabs>
          <w:tab w:val="left" w:pos="7920"/>
        </w:tabs>
        <w:spacing w:line="480" w:lineRule="exact"/>
        <w:ind w:left="-94" w:leftChars="-45" w:right="15" w:rightChars="7" w:firstLine="576" w:firstLineChars="240"/>
        <w:rPr>
          <w:sz w:val="24"/>
        </w:rPr>
      </w:pPr>
      <w:r>
        <w:rPr>
          <w:rFonts w:hint="eastAsia"/>
          <w:sz w:val="24"/>
        </w:rPr>
        <w:t>1、投标人具有独立法人资格并依法取得企业营业执照；营业执照处于有效期。且经营范围包括房屋租赁或物业管理或商业管理。</w:t>
      </w:r>
    </w:p>
    <w:p>
      <w:pPr>
        <w:tabs>
          <w:tab w:val="left" w:pos="7920"/>
        </w:tabs>
        <w:spacing w:line="480" w:lineRule="exact"/>
        <w:ind w:left="-94" w:leftChars="-45" w:right="15" w:rightChars="7" w:firstLine="576" w:firstLineChars="240"/>
        <w:rPr>
          <w:sz w:val="24"/>
        </w:rPr>
      </w:pPr>
      <w:r>
        <w:rPr>
          <w:rFonts w:hint="eastAsia"/>
          <w:sz w:val="24"/>
        </w:rPr>
        <w:t>2、在国家企业信用系统中有不良记录的企业，禁止参加与本项目投标。</w:t>
      </w:r>
    </w:p>
    <w:p>
      <w:pPr>
        <w:tabs>
          <w:tab w:val="left" w:pos="7920"/>
        </w:tabs>
        <w:spacing w:line="480" w:lineRule="exact"/>
        <w:ind w:left="-94" w:leftChars="-45" w:right="15" w:rightChars="7" w:firstLine="576" w:firstLineChars="240"/>
        <w:rPr>
          <w:sz w:val="24"/>
        </w:rPr>
      </w:pPr>
      <w:r>
        <w:rPr>
          <w:rFonts w:hint="eastAsia"/>
          <w:sz w:val="24"/>
        </w:rPr>
        <w:t>3、与招标人存在利害关系可能影响招标公正性的法人、其他组织或者个人，国家公职人员不得参加投标。单位负责人为同一人或者存在控股、管理关系的不同单位，不得参加投标。</w:t>
      </w:r>
    </w:p>
    <w:p>
      <w:pPr>
        <w:tabs>
          <w:tab w:val="left" w:pos="7920"/>
        </w:tabs>
        <w:spacing w:line="480" w:lineRule="exact"/>
        <w:ind w:left="-94" w:leftChars="-45" w:right="15" w:rightChars="7" w:firstLine="576" w:firstLineChars="240"/>
        <w:rPr>
          <w:sz w:val="24"/>
        </w:rPr>
      </w:pPr>
      <w:r>
        <w:rPr>
          <w:rFonts w:hint="eastAsia"/>
          <w:sz w:val="24"/>
        </w:rPr>
        <w:t>4、本项目不接受联合体投标。</w:t>
      </w:r>
    </w:p>
    <w:p>
      <w:pPr>
        <w:tabs>
          <w:tab w:val="left" w:pos="7920"/>
        </w:tabs>
        <w:spacing w:line="480" w:lineRule="exact"/>
        <w:ind w:left="-94" w:leftChars="-45" w:right="15" w:rightChars="7" w:firstLine="576" w:firstLineChars="240"/>
        <w:rPr>
          <w:sz w:val="24"/>
        </w:rPr>
      </w:pPr>
      <w:r>
        <w:rPr>
          <w:rFonts w:hint="eastAsia"/>
          <w:sz w:val="24"/>
        </w:rPr>
        <w:t>注：投标人具有实行了“三证合一”或“五证合一”制度改革的新证，视同为持有工商营业执照、组织机构代码证和税务登记证。</w:t>
      </w:r>
    </w:p>
    <w:p>
      <w:pPr>
        <w:tabs>
          <w:tab w:val="left" w:pos="7920"/>
        </w:tabs>
        <w:spacing w:line="480" w:lineRule="exact"/>
        <w:ind w:right="15" w:rightChars="7"/>
        <w:rPr>
          <w:b/>
          <w:sz w:val="24"/>
        </w:rPr>
      </w:pPr>
      <w:r>
        <w:rPr>
          <w:rFonts w:hint="eastAsia"/>
          <w:b/>
          <w:sz w:val="24"/>
        </w:rPr>
        <w:t>三、投标保证金</w:t>
      </w:r>
    </w:p>
    <w:p>
      <w:pPr>
        <w:tabs>
          <w:tab w:val="left" w:pos="7920"/>
        </w:tabs>
        <w:spacing w:line="480" w:lineRule="exact"/>
        <w:ind w:left="-94" w:leftChars="-45" w:right="15" w:rightChars="7" w:firstLine="576" w:firstLineChars="240"/>
        <w:rPr>
          <w:sz w:val="24"/>
        </w:rPr>
      </w:pPr>
      <w:r>
        <w:rPr>
          <w:rFonts w:hint="eastAsia"/>
          <w:sz w:val="24"/>
        </w:rPr>
        <w:t>1、投标保证金金额：人民币捌拾万元（￥800000元 ）。</w:t>
      </w:r>
    </w:p>
    <w:p>
      <w:pPr>
        <w:tabs>
          <w:tab w:val="left" w:pos="7920"/>
        </w:tabs>
        <w:spacing w:line="480" w:lineRule="exact"/>
        <w:ind w:left="-94" w:leftChars="-45" w:right="15" w:rightChars="7" w:firstLine="576" w:firstLineChars="240"/>
        <w:rPr>
          <w:sz w:val="24"/>
        </w:rPr>
      </w:pPr>
      <w:r>
        <w:rPr>
          <w:rFonts w:hint="eastAsia"/>
          <w:sz w:val="24"/>
        </w:rPr>
        <w:t>2、投标保证金交纳截止时间为投标截止时间前（含）。投标保证金要求在投标截止时间前（含）到达专用账户（以托管银行到帐日期为准）。</w:t>
      </w:r>
    </w:p>
    <w:p>
      <w:pPr>
        <w:tabs>
          <w:tab w:val="left" w:pos="7920"/>
        </w:tabs>
        <w:spacing w:line="480" w:lineRule="exact"/>
        <w:ind w:left="-94" w:leftChars="-45" w:right="15" w:rightChars="7" w:firstLine="576" w:firstLineChars="240"/>
        <w:rPr>
          <w:sz w:val="24"/>
        </w:rPr>
      </w:pPr>
      <w:r>
        <w:rPr>
          <w:rFonts w:hint="eastAsia"/>
          <w:sz w:val="24"/>
        </w:rPr>
        <w:t>3、投标保证金交纳方式：银行转帐、银行电汇、银行汇票，以投标人自身的名义通过其基本账户一次性足额提交到如下专用账户（投标保证金托管专户）：</w:t>
      </w:r>
    </w:p>
    <w:p>
      <w:pPr>
        <w:tabs>
          <w:tab w:val="left" w:pos="7920"/>
        </w:tabs>
        <w:spacing w:line="480" w:lineRule="exact"/>
        <w:ind w:left="481" w:leftChars="229" w:right="15" w:rightChars="7"/>
        <w:rPr>
          <w:sz w:val="24"/>
        </w:rPr>
      </w:pPr>
      <w:r>
        <w:rPr>
          <w:sz w:val="24"/>
        </w:rPr>
        <w:t>保证金交款账户：长沙公共资源交易中心投标保证金专户</w:t>
      </w:r>
    </w:p>
    <w:p>
      <w:pPr>
        <w:tabs>
          <w:tab w:val="left" w:pos="7920"/>
        </w:tabs>
        <w:spacing w:line="480" w:lineRule="exact"/>
        <w:ind w:left="481" w:leftChars="229" w:right="15" w:rightChars="7"/>
        <w:rPr>
          <w:sz w:val="24"/>
        </w:rPr>
      </w:pPr>
      <w:r>
        <w:rPr>
          <w:sz w:val="24"/>
        </w:rPr>
        <w:t>账号：431899991010003757150000</w:t>
      </w:r>
      <w:r>
        <w:rPr>
          <w:rFonts w:hint="eastAsia"/>
          <w:sz w:val="24"/>
        </w:rPr>
        <w:t>84</w:t>
      </w:r>
      <w:r>
        <w:rPr>
          <w:sz w:val="24"/>
        </w:rPr>
        <w:t>；</w:t>
      </w:r>
    </w:p>
    <w:p>
      <w:pPr>
        <w:tabs>
          <w:tab w:val="left" w:pos="7920"/>
        </w:tabs>
        <w:spacing w:line="480" w:lineRule="exact"/>
        <w:ind w:left="481" w:leftChars="229" w:right="15" w:rightChars="7"/>
        <w:rPr>
          <w:sz w:val="24"/>
        </w:rPr>
      </w:pPr>
      <w:r>
        <w:rPr>
          <w:sz w:val="24"/>
        </w:rPr>
        <w:t xml:space="preserve">开户行：交通银行长沙潇湘支行 </w:t>
      </w:r>
    </w:p>
    <w:p>
      <w:pPr>
        <w:tabs>
          <w:tab w:val="left" w:pos="7920"/>
        </w:tabs>
        <w:spacing w:line="480" w:lineRule="exact"/>
        <w:ind w:left="-94" w:leftChars="-45" w:right="15" w:rightChars="7" w:firstLine="576" w:firstLineChars="240"/>
        <w:rPr>
          <w:sz w:val="24"/>
        </w:rPr>
      </w:pPr>
      <w:r>
        <w:rPr>
          <w:rFonts w:hint="eastAsia"/>
          <w:sz w:val="24"/>
        </w:rPr>
        <w:t>4、投标保证金应以投标人自身名义提交，其名称应与投标单位的名称一致，不得以分支机构等其他名义提交。</w:t>
      </w:r>
    </w:p>
    <w:p>
      <w:pPr>
        <w:tabs>
          <w:tab w:val="left" w:pos="7920"/>
        </w:tabs>
        <w:spacing w:line="480" w:lineRule="exact"/>
        <w:ind w:left="-94" w:leftChars="-45" w:right="15" w:rightChars="7" w:firstLine="576" w:firstLineChars="240"/>
        <w:rPr>
          <w:sz w:val="24"/>
        </w:rPr>
      </w:pPr>
      <w:r>
        <w:rPr>
          <w:rFonts w:hint="eastAsia"/>
          <w:sz w:val="24"/>
        </w:rPr>
        <w:t>5、项目开标时，投标保证金到账情况以长沙公共资源交易管理信息平台提供的“投标保证金到账信息公示表”为准。</w:t>
      </w:r>
    </w:p>
    <w:p>
      <w:pPr>
        <w:tabs>
          <w:tab w:val="left" w:pos="7920"/>
        </w:tabs>
        <w:spacing w:line="480" w:lineRule="exact"/>
        <w:ind w:left="-94" w:leftChars="-45" w:right="15" w:rightChars="7" w:firstLine="576" w:firstLineChars="240"/>
        <w:rPr>
          <w:sz w:val="24"/>
        </w:rPr>
      </w:pPr>
      <w:r>
        <w:rPr>
          <w:rFonts w:hint="eastAsia"/>
          <w:sz w:val="24"/>
        </w:rPr>
        <w:t>6、投标人未按要求缴纳投标保证金的，由评标委员会初审后作无效投标文件处理，其可能造成的损失由投标人自行承担。</w:t>
      </w:r>
    </w:p>
    <w:p>
      <w:pPr>
        <w:tabs>
          <w:tab w:val="left" w:pos="7920"/>
        </w:tabs>
        <w:spacing w:line="480" w:lineRule="exact"/>
        <w:ind w:right="15" w:rightChars="7"/>
        <w:rPr>
          <w:b/>
          <w:sz w:val="24"/>
        </w:rPr>
      </w:pPr>
      <w:r>
        <w:rPr>
          <w:rFonts w:hint="eastAsia"/>
          <w:b/>
          <w:sz w:val="24"/>
        </w:rPr>
        <w:t>四、资格审查方式</w:t>
      </w:r>
    </w:p>
    <w:p>
      <w:pPr>
        <w:tabs>
          <w:tab w:val="left" w:pos="7920"/>
        </w:tabs>
        <w:spacing w:line="480" w:lineRule="exact"/>
        <w:ind w:right="15" w:rightChars="7" w:firstLine="470" w:firstLineChars="196"/>
        <w:rPr>
          <w:b/>
          <w:sz w:val="24"/>
        </w:rPr>
      </w:pPr>
      <w:r>
        <w:rPr>
          <w:rFonts w:hint="eastAsia"/>
          <w:sz w:val="24"/>
        </w:rPr>
        <w:t>本项目资格审查方式采用资格后审。</w:t>
      </w:r>
    </w:p>
    <w:p>
      <w:pPr>
        <w:tabs>
          <w:tab w:val="left" w:pos="7920"/>
        </w:tabs>
        <w:spacing w:line="480" w:lineRule="exact"/>
        <w:ind w:right="15" w:rightChars="7"/>
        <w:rPr>
          <w:b/>
          <w:sz w:val="24"/>
        </w:rPr>
      </w:pPr>
      <w:r>
        <w:rPr>
          <w:rFonts w:hint="eastAsia"/>
          <w:b/>
          <w:sz w:val="24"/>
        </w:rPr>
        <w:t>五、评标办法</w:t>
      </w:r>
    </w:p>
    <w:p>
      <w:pPr>
        <w:tabs>
          <w:tab w:val="left" w:pos="7920"/>
        </w:tabs>
        <w:spacing w:line="480" w:lineRule="exact"/>
        <w:ind w:right="15" w:rightChars="7" w:firstLine="470" w:firstLineChars="196"/>
        <w:rPr>
          <w:b/>
          <w:sz w:val="24"/>
        </w:rPr>
      </w:pPr>
      <w:r>
        <w:rPr>
          <w:rFonts w:hint="eastAsia"/>
          <w:sz w:val="24"/>
        </w:rPr>
        <w:t>本项目评标办法采用综合评估法。</w:t>
      </w:r>
    </w:p>
    <w:p>
      <w:pPr>
        <w:tabs>
          <w:tab w:val="left" w:pos="7920"/>
        </w:tabs>
        <w:spacing w:line="480" w:lineRule="exact"/>
        <w:ind w:right="15" w:rightChars="7"/>
        <w:rPr>
          <w:b/>
          <w:color w:val="000000"/>
          <w:sz w:val="24"/>
        </w:rPr>
      </w:pPr>
      <w:r>
        <w:rPr>
          <w:rFonts w:hint="eastAsia"/>
          <w:b/>
          <w:sz w:val="24"/>
        </w:rPr>
        <w:t>六</w:t>
      </w:r>
      <w:r>
        <w:rPr>
          <w:rFonts w:hint="eastAsia"/>
          <w:b/>
          <w:color w:val="000000"/>
          <w:sz w:val="24"/>
        </w:rPr>
        <w:t>、</w:t>
      </w:r>
      <w:r>
        <w:rPr>
          <w:rFonts w:hint="eastAsia"/>
          <w:b/>
          <w:bCs/>
          <w:iCs/>
          <w:color w:val="000000"/>
          <w:sz w:val="24"/>
        </w:rPr>
        <w:t>招标文件的获取及澄清答疑发布</w:t>
      </w:r>
    </w:p>
    <w:p>
      <w:pPr>
        <w:tabs>
          <w:tab w:val="left" w:pos="7920"/>
        </w:tabs>
        <w:spacing w:line="480" w:lineRule="exact"/>
        <w:ind w:left="-94" w:leftChars="-45" w:right="15" w:rightChars="7" w:firstLine="576" w:firstLineChars="240"/>
        <w:rPr>
          <w:color w:val="000000"/>
          <w:sz w:val="24"/>
        </w:rPr>
      </w:pPr>
      <w:r>
        <w:rPr>
          <w:rFonts w:hint="eastAsia"/>
          <w:color w:val="000000"/>
          <w:sz w:val="24"/>
        </w:rPr>
        <w:t>1、凡有意参加投标者，请从2020年3月20 日起（北京时间，下同）在长沙公共资源交易电子服务平台（http://fwpt.csggzy.cn）进行网上下载/获取招标文件。通过网络下载，其招标文件与书面招标文件具有同等法律效力。</w:t>
      </w:r>
    </w:p>
    <w:p>
      <w:pPr>
        <w:tabs>
          <w:tab w:val="left" w:pos="7920"/>
        </w:tabs>
        <w:spacing w:line="480" w:lineRule="exact"/>
        <w:ind w:left="-94" w:leftChars="-45" w:right="15" w:rightChars="7" w:firstLine="576" w:firstLineChars="240"/>
        <w:rPr>
          <w:color w:val="000000"/>
          <w:sz w:val="24"/>
        </w:rPr>
      </w:pPr>
      <w:r>
        <w:rPr>
          <w:rFonts w:hint="eastAsia"/>
          <w:color w:val="000000"/>
          <w:sz w:val="24"/>
        </w:rPr>
        <w:t>2、投标人若对招标文件有任何疑问，应于</w:t>
      </w:r>
      <w:r>
        <w:rPr>
          <w:color w:val="000000"/>
          <w:sz w:val="24"/>
        </w:rPr>
        <w:t>2020</w:t>
      </w:r>
      <w:r>
        <w:rPr>
          <w:rFonts w:hint="eastAsia"/>
          <w:color w:val="000000"/>
          <w:sz w:val="24"/>
        </w:rPr>
        <w:t>年</w:t>
      </w:r>
      <w:r>
        <w:rPr>
          <w:color w:val="000000"/>
          <w:sz w:val="24"/>
        </w:rPr>
        <w:t>3</w:t>
      </w:r>
      <w:r>
        <w:rPr>
          <w:rFonts w:hint="eastAsia"/>
          <w:color w:val="000000"/>
          <w:sz w:val="24"/>
        </w:rPr>
        <w:t>月</w:t>
      </w:r>
      <w:r>
        <w:rPr>
          <w:color w:val="000000"/>
          <w:sz w:val="24"/>
        </w:rPr>
        <w:t xml:space="preserve"> 24 </w:t>
      </w:r>
      <w:r>
        <w:rPr>
          <w:rFonts w:hint="eastAsia"/>
          <w:color w:val="000000"/>
          <w:sz w:val="24"/>
        </w:rPr>
        <w:t>日（含）</w:t>
      </w:r>
      <w:r>
        <w:rPr>
          <w:color w:val="000000"/>
          <w:sz w:val="24"/>
        </w:rPr>
        <w:t>17</w:t>
      </w:r>
      <w:r>
        <w:rPr>
          <w:rFonts w:hint="eastAsia"/>
          <w:color w:val="000000"/>
          <w:sz w:val="24"/>
        </w:rPr>
        <w:t>时</w:t>
      </w:r>
      <w:r>
        <w:rPr>
          <w:color w:val="000000"/>
          <w:sz w:val="24"/>
        </w:rPr>
        <w:t>00</w:t>
      </w:r>
      <w:r>
        <w:rPr>
          <w:rFonts w:hint="eastAsia"/>
          <w:color w:val="000000"/>
          <w:sz w:val="24"/>
        </w:rPr>
        <w:t>分前</w:t>
      </w:r>
      <w:r>
        <w:rPr>
          <w:rFonts w:hint="eastAsia" w:asciiTheme="minorEastAsia" w:hAnsiTheme="minorEastAsia" w:eastAsiaTheme="minorEastAsia"/>
          <w:color w:val="000000"/>
          <w:sz w:val="24"/>
        </w:rPr>
        <w:t>以邮件的形式发送至wazb2004@163.com邮箱（应以不署名的形式）提出。疑问不得透露单位和个人信息，不得出现投标单位名称。</w:t>
      </w:r>
    </w:p>
    <w:p>
      <w:pPr>
        <w:tabs>
          <w:tab w:val="left" w:pos="7920"/>
        </w:tabs>
        <w:spacing w:line="480" w:lineRule="exact"/>
        <w:ind w:left="-94" w:leftChars="-45" w:right="15" w:rightChars="7" w:firstLine="576" w:firstLineChars="240"/>
        <w:rPr>
          <w:sz w:val="24"/>
        </w:rPr>
      </w:pPr>
      <w:r>
        <w:rPr>
          <w:rFonts w:hint="eastAsia"/>
          <w:color w:val="000000"/>
          <w:sz w:val="24"/>
        </w:rPr>
        <w:t>3、答疑文件、招标文件修改澄清文件将在长沙公共资源交易电子服务平台（http://fwpt.csggzy.cn）上发布，敬请获得招标文件的所有投标人关注，恕不另行通知，如有遗漏招标人概不负责。</w:t>
      </w:r>
    </w:p>
    <w:p>
      <w:pPr>
        <w:tabs>
          <w:tab w:val="left" w:pos="7920"/>
        </w:tabs>
        <w:spacing w:line="480" w:lineRule="exact"/>
        <w:ind w:right="15" w:rightChars="7"/>
        <w:rPr>
          <w:b/>
          <w:sz w:val="24"/>
        </w:rPr>
      </w:pPr>
      <w:r>
        <w:rPr>
          <w:rFonts w:hint="eastAsia"/>
          <w:b/>
          <w:sz w:val="24"/>
        </w:rPr>
        <w:t>七、</w:t>
      </w:r>
      <w:r>
        <w:rPr>
          <w:rFonts w:hint="eastAsia"/>
          <w:b/>
          <w:bCs/>
          <w:sz w:val="24"/>
        </w:rPr>
        <w:t xml:space="preserve">投标文件的递交  </w:t>
      </w:r>
    </w:p>
    <w:p>
      <w:pPr>
        <w:tabs>
          <w:tab w:val="left" w:pos="7920"/>
        </w:tabs>
        <w:spacing w:line="480" w:lineRule="exact"/>
        <w:ind w:left="-94" w:leftChars="-45" w:right="15" w:rightChars="7" w:firstLine="576" w:firstLineChars="240"/>
        <w:rPr>
          <w:sz w:val="24"/>
        </w:rPr>
      </w:pPr>
      <w:r>
        <w:rPr>
          <w:rFonts w:hint="eastAsia"/>
          <w:sz w:val="24"/>
        </w:rPr>
        <w:t>1、投标文件递交的截止时间（投标截止时间，下同）及开标时间为</w:t>
      </w:r>
      <w:r>
        <w:rPr>
          <w:rFonts w:hint="eastAsia"/>
          <w:color w:val="000000"/>
          <w:sz w:val="24"/>
        </w:rPr>
        <w:t>2020年4月</w:t>
      </w:r>
      <w:r>
        <w:rPr>
          <w:rFonts w:hint="eastAsia"/>
          <w:color w:val="000000"/>
          <w:sz w:val="24"/>
          <w:lang w:val="en-US" w:eastAsia="zh-CN"/>
        </w:rPr>
        <w:t>9</w:t>
      </w:r>
      <w:bookmarkStart w:id="107" w:name="_GoBack"/>
      <w:bookmarkEnd w:id="107"/>
      <w:r>
        <w:rPr>
          <w:rFonts w:hint="eastAsia"/>
          <w:color w:val="000000"/>
          <w:sz w:val="24"/>
        </w:rPr>
        <w:t>日</w:t>
      </w:r>
      <w:r>
        <w:rPr>
          <w:rFonts w:hint="eastAsia"/>
          <w:sz w:val="24"/>
        </w:rPr>
        <w:t>9时00 分，地点为长沙公共资源交易中心（长沙市岳麓区岳华路279号）二楼相应开标室。</w:t>
      </w:r>
    </w:p>
    <w:p>
      <w:pPr>
        <w:tabs>
          <w:tab w:val="left" w:pos="7920"/>
        </w:tabs>
        <w:spacing w:line="480" w:lineRule="exact"/>
        <w:ind w:left="-94" w:leftChars="-45" w:right="15" w:rightChars="7" w:firstLine="576" w:firstLineChars="240"/>
        <w:rPr>
          <w:sz w:val="24"/>
        </w:rPr>
      </w:pPr>
      <w:r>
        <w:rPr>
          <w:rFonts w:hint="eastAsia"/>
          <w:sz w:val="24"/>
        </w:rPr>
        <w:t>2、逾期送达的或者未送达指定地点或未按要求密封的投标文件，招标人不予受理。</w:t>
      </w:r>
    </w:p>
    <w:p>
      <w:pPr>
        <w:tabs>
          <w:tab w:val="left" w:pos="7920"/>
        </w:tabs>
        <w:spacing w:line="480" w:lineRule="exact"/>
        <w:ind w:right="15" w:rightChars="7"/>
        <w:rPr>
          <w:b/>
          <w:sz w:val="24"/>
        </w:rPr>
      </w:pPr>
      <w:r>
        <w:rPr>
          <w:rFonts w:hint="eastAsia"/>
          <w:b/>
          <w:sz w:val="24"/>
        </w:rPr>
        <w:t>八、发布公告的媒介</w:t>
      </w:r>
    </w:p>
    <w:p>
      <w:pPr>
        <w:tabs>
          <w:tab w:val="left" w:pos="7920"/>
        </w:tabs>
        <w:spacing w:line="480" w:lineRule="exact"/>
        <w:ind w:left="-94" w:leftChars="-45" w:right="15" w:rightChars="7" w:firstLine="576" w:firstLineChars="240"/>
        <w:rPr>
          <w:sz w:val="24"/>
        </w:rPr>
      </w:pPr>
      <w:r>
        <w:rPr>
          <w:rFonts w:hint="eastAsia"/>
          <w:sz w:val="24"/>
        </w:rPr>
        <w:t>本次招标公告在以下网站同时发布：</w:t>
      </w:r>
    </w:p>
    <w:p>
      <w:pPr>
        <w:tabs>
          <w:tab w:val="left" w:pos="7920"/>
        </w:tabs>
        <w:spacing w:line="480" w:lineRule="exact"/>
        <w:ind w:left="-94" w:leftChars="-45" w:right="15" w:rightChars="7" w:firstLine="576" w:firstLineChars="240"/>
        <w:rPr>
          <w:sz w:val="24"/>
        </w:rPr>
      </w:pPr>
      <w:r>
        <w:rPr>
          <w:rFonts w:hint="eastAsia"/>
          <w:sz w:val="24"/>
        </w:rPr>
        <w:t>《中国招标投标公共服务平台》</w:t>
      </w:r>
      <w:r>
        <w:fldChar w:fldCharType="begin"/>
      </w:r>
      <w:r>
        <w:instrText xml:space="preserve"> HYPERLINK "http://www.cebpubservice.com" </w:instrText>
      </w:r>
      <w:r>
        <w:fldChar w:fldCharType="separate"/>
      </w:r>
      <w:r>
        <w:rPr>
          <w:rStyle w:val="39"/>
          <w:rFonts w:hint="eastAsia"/>
          <w:sz w:val="24"/>
        </w:rPr>
        <w:t>www.cebpubservice.com</w:t>
      </w:r>
      <w:r>
        <w:rPr>
          <w:rStyle w:val="39"/>
          <w:rFonts w:hint="eastAsia"/>
          <w:sz w:val="24"/>
        </w:rPr>
        <w:fldChar w:fldCharType="end"/>
      </w:r>
    </w:p>
    <w:p>
      <w:pPr>
        <w:tabs>
          <w:tab w:val="left" w:pos="7920"/>
        </w:tabs>
        <w:spacing w:line="480" w:lineRule="exact"/>
        <w:ind w:left="-94" w:leftChars="-45" w:right="15" w:rightChars="7" w:firstLine="576" w:firstLineChars="240"/>
        <w:rPr>
          <w:sz w:val="24"/>
        </w:rPr>
      </w:pPr>
      <w:r>
        <w:rPr>
          <w:rFonts w:hint="eastAsia"/>
          <w:sz w:val="24"/>
        </w:rPr>
        <w:t>《长沙公共资源交易电子服务平台》</w:t>
      </w:r>
      <w:r>
        <w:fldChar w:fldCharType="begin"/>
      </w:r>
      <w:r>
        <w:instrText xml:space="preserve"> HYPERLINK "http://www.csggzy.gov.cn/" </w:instrText>
      </w:r>
      <w:r>
        <w:fldChar w:fldCharType="separate"/>
      </w:r>
      <w:r>
        <w:rPr>
          <w:rFonts w:hint="eastAsia"/>
          <w:sz w:val="24"/>
        </w:rPr>
        <w:t>www.ggzy.changsha.gov.cn</w:t>
      </w:r>
      <w:r>
        <w:rPr>
          <w:rFonts w:hint="eastAsia"/>
          <w:sz w:val="24"/>
        </w:rPr>
        <w:fldChar w:fldCharType="end"/>
      </w:r>
    </w:p>
    <w:p>
      <w:pPr>
        <w:tabs>
          <w:tab w:val="left" w:pos="7920"/>
        </w:tabs>
        <w:spacing w:line="480" w:lineRule="exact"/>
        <w:ind w:right="15" w:rightChars="7"/>
        <w:rPr>
          <w:b/>
          <w:sz w:val="24"/>
        </w:rPr>
      </w:pPr>
      <w:r>
        <w:rPr>
          <w:rFonts w:hint="eastAsia"/>
          <w:b/>
          <w:sz w:val="24"/>
        </w:rPr>
        <w:t>九、招标人</w:t>
      </w:r>
    </w:p>
    <w:p>
      <w:pPr>
        <w:tabs>
          <w:tab w:val="left" w:pos="7920"/>
        </w:tabs>
        <w:spacing w:line="480" w:lineRule="exact"/>
        <w:ind w:right="15" w:rightChars="7" w:firstLine="480" w:firstLineChars="200"/>
        <w:rPr>
          <w:sz w:val="24"/>
        </w:rPr>
      </w:pPr>
      <w:r>
        <w:rPr>
          <w:rFonts w:hint="eastAsia"/>
          <w:sz w:val="24"/>
        </w:rPr>
        <w:t>长沙先导恒通商业管理有限公司</w:t>
      </w:r>
    </w:p>
    <w:p>
      <w:pPr>
        <w:tabs>
          <w:tab w:val="left" w:pos="7920"/>
        </w:tabs>
        <w:spacing w:line="480" w:lineRule="exact"/>
        <w:ind w:right="15" w:rightChars="7"/>
        <w:rPr>
          <w:sz w:val="24"/>
        </w:rPr>
      </w:pPr>
      <w:r>
        <w:rPr>
          <w:rFonts w:hint="eastAsia"/>
          <w:b/>
          <w:sz w:val="24"/>
        </w:rPr>
        <w:t>十、行政监管部门</w:t>
      </w:r>
    </w:p>
    <w:p>
      <w:pPr>
        <w:tabs>
          <w:tab w:val="left" w:pos="7920"/>
        </w:tabs>
        <w:spacing w:line="480" w:lineRule="exact"/>
        <w:ind w:right="15" w:rightChars="7" w:firstLine="480" w:firstLineChars="200"/>
        <w:rPr>
          <w:sz w:val="24"/>
        </w:rPr>
      </w:pPr>
      <w:r>
        <w:rPr>
          <w:rFonts w:hint="eastAsia"/>
          <w:sz w:val="24"/>
        </w:rPr>
        <w:t>/</w:t>
      </w:r>
    </w:p>
    <w:p>
      <w:pPr>
        <w:tabs>
          <w:tab w:val="left" w:pos="7920"/>
        </w:tabs>
        <w:spacing w:line="480" w:lineRule="exact"/>
        <w:ind w:right="15" w:rightChars="7" w:firstLine="480" w:firstLineChars="200"/>
        <w:rPr>
          <w:sz w:val="24"/>
        </w:rPr>
      </w:pPr>
    </w:p>
    <w:p>
      <w:bookmarkStart w:id="1" w:name="_Toc321052820"/>
      <w:r>
        <w:rPr>
          <w:sz w:val="24"/>
        </w:rPr>
        <w:br w:type="page"/>
      </w:r>
    </w:p>
    <w:p>
      <w:pPr>
        <w:pStyle w:val="2"/>
        <w:spacing w:line="360" w:lineRule="auto"/>
      </w:pPr>
      <w:r>
        <w:rPr>
          <w:rFonts w:hint="eastAsia"/>
        </w:rPr>
        <w:t xml:space="preserve">             第二章  投标人须知</w:t>
      </w:r>
      <w:bookmarkEnd w:id="1"/>
    </w:p>
    <w:p>
      <w:pPr>
        <w:pStyle w:val="3"/>
        <w:numPr>
          <w:ilvl w:val="1"/>
          <w:numId w:val="0"/>
        </w:numPr>
        <w:spacing w:line="400" w:lineRule="exact"/>
        <w:jc w:val="center"/>
        <w:rPr>
          <w:rFonts w:ascii="宋体" w:hAnsi="宋体" w:eastAsia="宋体"/>
          <w:w w:val="100"/>
          <w:kern w:val="32"/>
        </w:rPr>
      </w:pPr>
      <w:r>
        <w:rPr>
          <w:rFonts w:hint="eastAsia" w:ascii="宋体" w:hAnsi="宋体" w:eastAsia="宋体"/>
          <w:w w:val="100"/>
          <w:kern w:val="32"/>
        </w:rPr>
        <w:t>1 总则</w:t>
      </w:r>
    </w:p>
    <w:p>
      <w:pPr>
        <w:spacing w:line="400" w:lineRule="exact"/>
        <w:ind w:left="718" w:leftChars="1" w:hanging="716" w:hangingChars="297"/>
        <w:rPr>
          <w:b/>
          <w:bCs/>
          <w:sz w:val="24"/>
        </w:rPr>
      </w:pPr>
      <w:bookmarkStart w:id="2" w:name="_Toc227423923"/>
      <w:r>
        <w:rPr>
          <w:rFonts w:hint="eastAsia"/>
          <w:b/>
          <w:bCs/>
          <w:sz w:val="24"/>
        </w:rPr>
        <w:t>1.1．适用范围</w:t>
      </w:r>
    </w:p>
    <w:p>
      <w:pPr>
        <w:tabs>
          <w:tab w:val="left" w:pos="7920"/>
        </w:tabs>
        <w:spacing w:line="500" w:lineRule="exact"/>
        <w:ind w:left="-94" w:leftChars="-45" w:right="15" w:rightChars="7" w:firstLine="576" w:firstLineChars="240"/>
        <w:rPr>
          <w:sz w:val="24"/>
        </w:rPr>
      </w:pPr>
      <w:r>
        <w:rPr>
          <w:rFonts w:hint="eastAsia"/>
          <w:sz w:val="24"/>
        </w:rPr>
        <w:t>1.1.1本文件仅适用于本招标公告中所述的招标项目。</w:t>
      </w:r>
    </w:p>
    <w:p>
      <w:pPr>
        <w:spacing w:line="400" w:lineRule="exact"/>
        <w:ind w:left="718" w:leftChars="1" w:hanging="716" w:hangingChars="297"/>
        <w:rPr>
          <w:b/>
          <w:bCs/>
          <w:sz w:val="24"/>
        </w:rPr>
      </w:pPr>
      <w:r>
        <w:rPr>
          <w:rFonts w:hint="eastAsia"/>
          <w:b/>
          <w:bCs/>
          <w:sz w:val="24"/>
        </w:rPr>
        <w:t>1.2定义</w:t>
      </w:r>
    </w:p>
    <w:p>
      <w:pPr>
        <w:tabs>
          <w:tab w:val="left" w:pos="7920"/>
        </w:tabs>
        <w:spacing w:line="500" w:lineRule="exact"/>
        <w:ind w:left="-94" w:leftChars="-45" w:right="15" w:rightChars="7" w:firstLine="576" w:firstLineChars="240"/>
        <w:rPr>
          <w:color w:val="FF0000"/>
          <w:sz w:val="24"/>
        </w:rPr>
      </w:pPr>
      <w:r>
        <w:rPr>
          <w:rFonts w:hint="eastAsia"/>
          <w:sz w:val="24"/>
        </w:rPr>
        <w:t>1.2.1“招标人”系长沙先导恒通商业管理有限公司。</w:t>
      </w:r>
    </w:p>
    <w:p>
      <w:pPr>
        <w:tabs>
          <w:tab w:val="left" w:pos="7920"/>
        </w:tabs>
        <w:spacing w:line="500" w:lineRule="exact"/>
        <w:ind w:left="-94" w:leftChars="-45" w:right="15" w:rightChars="7" w:firstLine="576" w:firstLineChars="240"/>
        <w:rPr>
          <w:sz w:val="24"/>
        </w:rPr>
      </w:pPr>
      <w:r>
        <w:rPr>
          <w:rFonts w:hint="eastAsia"/>
          <w:sz w:val="24"/>
        </w:rPr>
        <w:t>1.2.2“投标人”系指响应招标文件参与投标并提交投标文件的单位。</w:t>
      </w:r>
    </w:p>
    <w:p>
      <w:pPr>
        <w:tabs>
          <w:tab w:val="left" w:pos="7920"/>
        </w:tabs>
        <w:spacing w:line="500" w:lineRule="exact"/>
        <w:ind w:left="-94" w:leftChars="-45" w:right="15" w:rightChars="7" w:firstLine="576" w:firstLineChars="240"/>
        <w:rPr>
          <w:sz w:val="24"/>
        </w:rPr>
      </w:pPr>
      <w:r>
        <w:rPr>
          <w:rFonts w:hint="eastAsia"/>
          <w:sz w:val="24"/>
        </w:rPr>
        <w:t>1.2.3“中标人”系指被确定为承接本项目并负责其实施的投标人。</w:t>
      </w:r>
    </w:p>
    <w:p>
      <w:pPr>
        <w:spacing w:line="400" w:lineRule="exact"/>
        <w:ind w:left="718" w:leftChars="1" w:hanging="716" w:hangingChars="297"/>
        <w:rPr>
          <w:b/>
          <w:bCs/>
          <w:sz w:val="24"/>
        </w:rPr>
      </w:pPr>
      <w:r>
        <w:rPr>
          <w:rFonts w:hint="eastAsia"/>
          <w:b/>
          <w:bCs/>
          <w:sz w:val="24"/>
        </w:rPr>
        <w:t>1.3投标人应具备的条件</w:t>
      </w:r>
    </w:p>
    <w:p>
      <w:pPr>
        <w:tabs>
          <w:tab w:val="left" w:pos="7920"/>
        </w:tabs>
        <w:spacing w:line="500" w:lineRule="exact"/>
        <w:ind w:right="15" w:rightChars="7" w:firstLine="470" w:firstLineChars="196"/>
        <w:rPr>
          <w:sz w:val="24"/>
        </w:rPr>
      </w:pPr>
      <w:r>
        <w:rPr>
          <w:rFonts w:hint="eastAsia"/>
          <w:sz w:val="24"/>
        </w:rPr>
        <w:t xml:space="preserve">1.3.1详见招标公告第二条。  </w:t>
      </w:r>
    </w:p>
    <w:p>
      <w:pPr>
        <w:spacing w:line="400" w:lineRule="exact"/>
        <w:ind w:left="718" w:leftChars="1" w:hanging="716" w:hangingChars="297"/>
        <w:rPr>
          <w:b/>
          <w:bCs/>
          <w:sz w:val="24"/>
        </w:rPr>
      </w:pPr>
      <w:r>
        <w:rPr>
          <w:rFonts w:hint="eastAsia"/>
          <w:b/>
          <w:bCs/>
          <w:sz w:val="24"/>
        </w:rPr>
        <w:t>1.4.招标条件</w:t>
      </w:r>
    </w:p>
    <w:p>
      <w:pPr>
        <w:tabs>
          <w:tab w:val="left" w:pos="7920"/>
        </w:tabs>
        <w:spacing w:line="500" w:lineRule="exact"/>
        <w:ind w:left="-94" w:leftChars="-45" w:right="15" w:rightChars="7" w:firstLine="576" w:firstLineChars="240"/>
        <w:rPr>
          <w:sz w:val="24"/>
        </w:rPr>
      </w:pPr>
      <w:r>
        <w:rPr>
          <w:rFonts w:hint="eastAsia"/>
          <w:sz w:val="24"/>
        </w:rPr>
        <w:t>1.4.1由中标人负责西中心T3裙楼购物中心1层至5层，建筑面积约21290.47平米的相的装修改造、设备设施采购的全部投资，项目运营所产业的水电燃气、公共区域内的卫生清理、园林绿化维护、消防报验等一切与运营相关开支及费用由中标人负责。在合同期内中标人自行撤场或由于中标人违约终止中标人经营权利的，装修装饰及设备设施归于招标人。（详见项目情况说明）</w:t>
      </w:r>
    </w:p>
    <w:p>
      <w:pPr>
        <w:tabs>
          <w:tab w:val="left" w:pos="7920"/>
        </w:tabs>
        <w:spacing w:line="500" w:lineRule="exact"/>
        <w:ind w:left="-94" w:leftChars="-45" w:right="15" w:rightChars="7" w:firstLine="576" w:firstLineChars="240"/>
        <w:rPr>
          <w:sz w:val="24"/>
        </w:rPr>
      </w:pPr>
      <w:r>
        <w:rPr>
          <w:rFonts w:hint="eastAsia"/>
          <w:sz w:val="24"/>
        </w:rPr>
        <w:t>1.4.2投标人可自行踏勘现场，投标人应充分了解物业情况并考虑和评估未来国家、政府及相关行政部门政策调整对项目经营造成的影响，自负盈亏、自担风险，招标人对上述情况不负任何责任。</w:t>
      </w:r>
    </w:p>
    <w:p>
      <w:pPr>
        <w:tabs>
          <w:tab w:val="left" w:pos="7920"/>
        </w:tabs>
        <w:spacing w:line="500" w:lineRule="exact"/>
        <w:ind w:right="15" w:rightChars="7"/>
        <w:rPr>
          <w:b/>
          <w:sz w:val="24"/>
        </w:rPr>
      </w:pPr>
      <w:r>
        <w:rPr>
          <w:rFonts w:hint="eastAsia"/>
          <w:sz w:val="24"/>
        </w:rPr>
        <w:t xml:space="preserve"> </w:t>
      </w:r>
      <w:r>
        <w:rPr>
          <w:rFonts w:hint="eastAsia"/>
          <w:b/>
          <w:sz w:val="24"/>
        </w:rPr>
        <w:t>1.5费用承担</w:t>
      </w:r>
    </w:p>
    <w:p>
      <w:pPr>
        <w:tabs>
          <w:tab w:val="left" w:pos="7920"/>
        </w:tabs>
        <w:spacing w:line="500" w:lineRule="exact"/>
        <w:ind w:left="-94" w:leftChars="-45" w:right="15" w:rightChars="7" w:firstLine="576" w:firstLineChars="240"/>
        <w:rPr>
          <w:sz w:val="24"/>
        </w:rPr>
      </w:pPr>
      <w:r>
        <w:rPr>
          <w:rFonts w:hint="eastAsia"/>
          <w:sz w:val="24"/>
        </w:rPr>
        <w:t>投标人准备和参加投标活动发生的费用自理。</w:t>
      </w:r>
    </w:p>
    <w:p>
      <w:pPr>
        <w:tabs>
          <w:tab w:val="left" w:pos="7920"/>
        </w:tabs>
        <w:spacing w:line="500" w:lineRule="exact"/>
        <w:ind w:right="15" w:rightChars="7" w:firstLine="241" w:firstLineChars="100"/>
        <w:rPr>
          <w:b/>
          <w:sz w:val="24"/>
        </w:rPr>
      </w:pPr>
      <w:r>
        <w:rPr>
          <w:rFonts w:hint="eastAsia"/>
          <w:b/>
          <w:sz w:val="24"/>
        </w:rPr>
        <w:t>1.6保密</w:t>
      </w:r>
    </w:p>
    <w:p>
      <w:pPr>
        <w:tabs>
          <w:tab w:val="left" w:pos="7920"/>
        </w:tabs>
        <w:spacing w:line="500" w:lineRule="exact"/>
        <w:ind w:left="-94" w:leftChars="-45" w:right="15" w:rightChars="7" w:firstLine="576" w:firstLineChars="240"/>
        <w:rPr>
          <w:sz w:val="24"/>
        </w:rPr>
      </w:pPr>
      <w:r>
        <w:rPr>
          <w:rFonts w:hint="eastAsia"/>
          <w:sz w:val="24"/>
        </w:rPr>
        <w:t>参与招标投标活动的各方应对招标文件和投标文件中的商业和技术等秘密保密，违者应对由此造成的后果承担法律责任。</w:t>
      </w:r>
    </w:p>
    <w:p>
      <w:pPr>
        <w:tabs>
          <w:tab w:val="left" w:pos="7920"/>
        </w:tabs>
        <w:spacing w:line="500" w:lineRule="exact"/>
        <w:ind w:right="15" w:rightChars="7"/>
        <w:rPr>
          <w:b/>
          <w:sz w:val="24"/>
        </w:rPr>
      </w:pPr>
      <w:bookmarkStart w:id="3" w:name="_Toc358982539"/>
      <w:bookmarkStart w:id="4" w:name="_Toc193115699"/>
      <w:bookmarkStart w:id="5" w:name="_Toc376171335"/>
      <w:bookmarkStart w:id="6" w:name="_Toc358982037"/>
      <w:bookmarkStart w:id="7" w:name="_Toc373007188"/>
      <w:bookmarkStart w:id="8" w:name="_Toc235592900"/>
      <w:bookmarkStart w:id="9" w:name="_Toc378061528"/>
      <w:bookmarkStart w:id="10" w:name="_Toc335324725"/>
      <w:r>
        <w:rPr>
          <w:rFonts w:hint="eastAsia"/>
          <w:b/>
          <w:sz w:val="24"/>
        </w:rPr>
        <w:t>1.7语言文字</w:t>
      </w:r>
      <w:bookmarkEnd w:id="3"/>
      <w:bookmarkEnd w:id="4"/>
      <w:bookmarkEnd w:id="5"/>
      <w:bookmarkEnd w:id="6"/>
      <w:bookmarkEnd w:id="7"/>
      <w:bookmarkEnd w:id="8"/>
      <w:bookmarkEnd w:id="9"/>
      <w:bookmarkEnd w:id="10"/>
    </w:p>
    <w:p>
      <w:pPr>
        <w:tabs>
          <w:tab w:val="left" w:pos="7920"/>
        </w:tabs>
        <w:spacing w:line="500" w:lineRule="exact"/>
        <w:ind w:left="-94" w:leftChars="-45" w:right="15" w:rightChars="7" w:firstLine="576" w:firstLineChars="240"/>
        <w:rPr>
          <w:sz w:val="24"/>
        </w:rPr>
      </w:pPr>
      <w:r>
        <w:rPr>
          <w:rFonts w:hint="eastAsia"/>
          <w:sz w:val="24"/>
        </w:rPr>
        <w:t>除专用术语外，与招标投标有关的语言均使用中文。必要时专用术语应附有中文注释。</w:t>
      </w:r>
    </w:p>
    <w:p>
      <w:pPr>
        <w:tabs>
          <w:tab w:val="left" w:pos="7920"/>
        </w:tabs>
        <w:spacing w:line="500" w:lineRule="exact"/>
        <w:ind w:right="15" w:rightChars="7"/>
        <w:rPr>
          <w:b/>
          <w:sz w:val="24"/>
        </w:rPr>
      </w:pPr>
      <w:bookmarkStart w:id="11" w:name="_Toc373007189"/>
      <w:bookmarkStart w:id="12" w:name="_Toc235592901"/>
      <w:bookmarkStart w:id="13" w:name="_Toc358982038"/>
      <w:bookmarkStart w:id="14" w:name="_Toc358982540"/>
      <w:bookmarkStart w:id="15" w:name="_Toc193115700"/>
      <w:bookmarkStart w:id="16" w:name="_Toc335324726"/>
      <w:bookmarkStart w:id="17" w:name="_Toc376171336"/>
      <w:bookmarkStart w:id="18" w:name="_Toc378061529"/>
      <w:r>
        <w:rPr>
          <w:rFonts w:hint="eastAsia"/>
          <w:b/>
          <w:sz w:val="24"/>
        </w:rPr>
        <w:t>1.8计量单位</w:t>
      </w:r>
      <w:bookmarkEnd w:id="11"/>
      <w:bookmarkEnd w:id="12"/>
      <w:bookmarkEnd w:id="13"/>
      <w:bookmarkEnd w:id="14"/>
      <w:bookmarkEnd w:id="15"/>
      <w:bookmarkEnd w:id="16"/>
      <w:bookmarkEnd w:id="17"/>
      <w:bookmarkEnd w:id="18"/>
    </w:p>
    <w:p>
      <w:pPr>
        <w:tabs>
          <w:tab w:val="left" w:pos="7920"/>
        </w:tabs>
        <w:spacing w:line="500" w:lineRule="exact"/>
        <w:ind w:left="-94" w:leftChars="-45" w:right="15" w:rightChars="7" w:firstLine="576" w:firstLineChars="240"/>
        <w:rPr>
          <w:sz w:val="24"/>
        </w:rPr>
      </w:pPr>
      <w:r>
        <w:rPr>
          <w:rFonts w:hint="eastAsia"/>
          <w:sz w:val="24"/>
        </w:rPr>
        <w:t>所有计量均采用中华人民共和国法定计量单位。</w:t>
      </w:r>
    </w:p>
    <w:p>
      <w:pPr>
        <w:tabs>
          <w:tab w:val="left" w:pos="7920"/>
        </w:tabs>
        <w:spacing w:line="500" w:lineRule="exact"/>
        <w:ind w:right="15" w:rightChars="7"/>
        <w:rPr>
          <w:b/>
          <w:bCs/>
          <w:sz w:val="24"/>
        </w:rPr>
      </w:pPr>
      <w:bookmarkStart w:id="19" w:name="_Toc373007190"/>
      <w:bookmarkStart w:id="20" w:name="_Toc335324727"/>
      <w:bookmarkStart w:id="21" w:name="_Toc193115701"/>
      <w:bookmarkStart w:id="22" w:name="_Toc376171337"/>
      <w:bookmarkStart w:id="23" w:name="_Toc378061530"/>
      <w:bookmarkStart w:id="24" w:name="_Toc358982039"/>
      <w:bookmarkStart w:id="25" w:name="_Toc358982541"/>
      <w:bookmarkStart w:id="26" w:name="_Toc235592902"/>
      <w:r>
        <w:rPr>
          <w:rFonts w:hint="eastAsia"/>
          <w:b/>
          <w:bCs/>
          <w:sz w:val="24"/>
        </w:rPr>
        <w:t>1.9踏勘现场</w:t>
      </w:r>
      <w:bookmarkEnd w:id="19"/>
      <w:bookmarkEnd w:id="20"/>
      <w:bookmarkEnd w:id="21"/>
      <w:bookmarkEnd w:id="22"/>
      <w:bookmarkEnd w:id="23"/>
      <w:bookmarkEnd w:id="24"/>
      <w:bookmarkEnd w:id="25"/>
      <w:bookmarkEnd w:id="26"/>
    </w:p>
    <w:p>
      <w:pPr>
        <w:tabs>
          <w:tab w:val="left" w:pos="7920"/>
        </w:tabs>
        <w:spacing w:line="500" w:lineRule="exact"/>
        <w:ind w:left="-94" w:leftChars="-45" w:right="15" w:rightChars="7" w:firstLine="576" w:firstLineChars="240"/>
        <w:rPr>
          <w:sz w:val="24"/>
        </w:rPr>
      </w:pPr>
      <w:r>
        <w:rPr>
          <w:sz w:val="24"/>
        </w:rPr>
        <w:t>1.9.1</w:t>
      </w:r>
      <w:r>
        <w:rPr>
          <w:sz w:val="24"/>
          <w:lang w:val="zh-TW"/>
        </w:rPr>
        <w:t>招标人将按投标人须知前附表规定，投标人自行对工程现场及周围环境进行踏勘，以获取有关编制投标文件和签署合同所涉及现场的资料。投标人承担踏勘现场所发生的自身费用。</w:t>
      </w:r>
    </w:p>
    <w:p>
      <w:pPr>
        <w:tabs>
          <w:tab w:val="left" w:pos="7920"/>
        </w:tabs>
        <w:spacing w:line="500" w:lineRule="exact"/>
        <w:ind w:left="-94" w:leftChars="-45" w:right="15" w:rightChars="7" w:firstLine="576" w:firstLineChars="240"/>
        <w:rPr>
          <w:sz w:val="24"/>
        </w:rPr>
      </w:pPr>
      <w:r>
        <w:rPr>
          <w:sz w:val="24"/>
        </w:rPr>
        <w:t xml:space="preserve">1.9.2 </w:t>
      </w:r>
      <w:r>
        <w:rPr>
          <w:sz w:val="24"/>
          <w:lang w:val="zh-TW"/>
        </w:rPr>
        <w:t>招标人向投标人提供的有关现场的数据和资料，供投标人在编制投标文件时参考，招标人不对投标人据此作出的判断和决策负责。</w:t>
      </w:r>
    </w:p>
    <w:p>
      <w:pPr>
        <w:tabs>
          <w:tab w:val="left" w:pos="7920"/>
        </w:tabs>
        <w:spacing w:line="500" w:lineRule="exact"/>
        <w:ind w:left="-94" w:leftChars="-45" w:right="15" w:rightChars="7" w:firstLine="576" w:firstLineChars="240"/>
        <w:rPr>
          <w:sz w:val="24"/>
        </w:rPr>
      </w:pPr>
      <w:r>
        <w:rPr>
          <w:sz w:val="24"/>
        </w:rPr>
        <w:t xml:space="preserve">1.9.3 </w:t>
      </w:r>
      <w:r>
        <w:rPr>
          <w:sz w:val="24"/>
          <w:lang w:val="zh-TW"/>
        </w:rPr>
        <w:t>投标人可为踏勘目的进入招标人的项目现场，但投标人不得因此使招标人承担有关的责任和蒙受损失。投标人应承担踏勘现场的责任和风险</w:t>
      </w:r>
      <w:r>
        <w:rPr>
          <w:rFonts w:hint="eastAsia"/>
          <w:sz w:val="24"/>
        </w:rPr>
        <w:t>。</w:t>
      </w:r>
    </w:p>
    <w:p>
      <w:pPr>
        <w:tabs>
          <w:tab w:val="left" w:pos="7920"/>
        </w:tabs>
        <w:spacing w:line="500" w:lineRule="exact"/>
        <w:ind w:right="15" w:rightChars="7"/>
        <w:rPr>
          <w:b/>
          <w:sz w:val="24"/>
        </w:rPr>
      </w:pPr>
      <w:r>
        <w:rPr>
          <w:rFonts w:hint="eastAsia"/>
          <w:b/>
          <w:sz w:val="24"/>
        </w:rPr>
        <w:t>1.10招标答疑</w:t>
      </w:r>
    </w:p>
    <w:p>
      <w:pPr>
        <w:tabs>
          <w:tab w:val="left" w:pos="7920"/>
        </w:tabs>
        <w:spacing w:line="500" w:lineRule="exact"/>
        <w:ind w:right="15" w:rightChars="7" w:firstLine="480" w:firstLineChars="200"/>
        <w:rPr>
          <w:sz w:val="24"/>
        </w:rPr>
      </w:pPr>
      <w:r>
        <w:rPr>
          <w:sz w:val="24"/>
        </w:rPr>
        <w:t>1.10.1</w:t>
      </w:r>
      <w:r>
        <w:rPr>
          <w:sz w:val="24"/>
          <w:lang w:val="zh-TW"/>
        </w:rPr>
        <w:t>招标答疑会按</w:t>
      </w:r>
      <w:r>
        <w:rPr>
          <w:rFonts w:hint="eastAsia"/>
          <w:sz w:val="24"/>
          <w:lang w:val="zh-TW"/>
        </w:rPr>
        <w:t>招标公告</w:t>
      </w:r>
      <w:r>
        <w:rPr>
          <w:sz w:val="24"/>
          <w:lang w:val="zh-TW"/>
        </w:rPr>
        <w:t>规定。</w:t>
      </w:r>
    </w:p>
    <w:p>
      <w:pPr>
        <w:tabs>
          <w:tab w:val="left" w:pos="7920"/>
        </w:tabs>
        <w:spacing w:line="500" w:lineRule="exact"/>
        <w:ind w:right="15" w:rightChars="7" w:firstLine="480" w:firstLineChars="200"/>
        <w:rPr>
          <w:sz w:val="24"/>
        </w:rPr>
      </w:pPr>
      <w:r>
        <w:rPr>
          <w:sz w:val="24"/>
        </w:rPr>
        <w:t>1.10.2</w:t>
      </w:r>
      <w:r>
        <w:rPr>
          <w:sz w:val="24"/>
          <w:lang w:val="zh-TW"/>
        </w:rPr>
        <w:t>投标人的疑问应在</w:t>
      </w:r>
      <w:r>
        <w:rPr>
          <w:rFonts w:hint="eastAsia"/>
          <w:sz w:val="24"/>
          <w:lang w:val="zh-TW"/>
        </w:rPr>
        <w:t>招标公告</w:t>
      </w:r>
      <w:r>
        <w:rPr>
          <w:sz w:val="24"/>
          <w:lang w:val="zh-TW"/>
        </w:rPr>
        <w:t>规定的时间前及规定的方式提出，以便招标人在规定时间内澄清。</w:t>
      </w:r>
    </w:p>
    <w:p>
      <w:pPr>
        <w:tabs>
          <w:tab w:val="left" w:pos="7920"/>
        </w:tabs>
        <w:spacing w:line="500" w:lineRule="exact"/>
        <w:ind w:right="15" w:rightChars="7" w:firstLine="480" w:firstLineChars="200"/>
        <w:rPr>
          <w:sz w:val="24"/>
        </w:rPr>
      </w:pPr>
      <w:r>
        <w:rPr>
          <w:sz w:val="24"/>
        </w:rPr>
        <w:t>1.10.3招标人在投标人须知前附表规定的时间内，将对投标人提出问题的澄清，在</w:t>
      </w:r>
      <w:r>
        <w:rPr>
          <w:rFonts w:hint="eastAsia"/>
          <w:sz w:val="24"/>
        </w:rPr>
        <w:t>长沙公共资源交易电子服务平台</w:t>
      </w:r>
      <w:r>
        <w:rPr>
          <w:sz w:val="24"/>
        </w:rPr>
        <w:t>上发布澄清文件，敬请获得招标文件的所有投标人关注，恕不另行通知，如有遗漏招标人概不负责。</w:t>
      </w:r>
      <w:r>
        <w:rPr>
          <w:sz w:val="24"/>
          <w:lang w:val="zh-TW"/>
        </w:rPr>
        <w:t>该澄清内容为招标文件的组成部分。</w:t>
      </w:r>
    </w:p>
    <w:p>
      <w:pPr>
        <w:pStyle w:val="3"/>
        <w:numPr>
          <w:ilvl w:val="1"/>
          <w:numId w:val="0"/>
        </w:numPr>
        <w:spacing w:line="400" w:lineRule="exact"/>
        <w:jc w:val="center"/>
        <w:rPr>
          <w:rFonts w:ascii="宋体" w:hAnsi="宋体" w:eastAsia="宋体"/>
          <w:w w:val="100"/>
          <w:kern w:val="32"/>
        </w:rPr>
      </w:pPr>
      <w:r>
        <w:rPr>
          <w:rFonts w:hint="eastAsia" w:ascii="宋体" w:hAnsi="宋体" w:eastAsia="宋体"/>
          <w:w w:val="100"/>
          <w:kern w:val="32"/>
        </w:rPr>
        <w:t>2 招标文件</w:t>
      </w:r>
    </w:p>
    <w:p>
      <w:pPr>
        <w:tabs>
          <w:tab w:val="left" w:pos="7920"/>
        </w:tabs>
        <w:spacing w:line="500" w:lineRule="exact"/>
        <w:ind w:right="15" w:rightChars="7"/>
        <w:rPr>
          <w:b/>
          <w:sz w:val="24"/>
        </w:rPr>
      </w:pPr>
      <w:r>
        <w:rPr>
          <w:rFonts w:hint="eastAsia"/>
          <w:b/>
          <w:sz w:val="24"/>
        </w:rPr>
        <w:t>2.1招标文件的组成</w:t>
      </w:r>
    </w:p>
    <w:p>
      <w:pPr>
        <w:tabs>
          <w:tab w:val="left" w:pos="7920"/>
        </w:tabs>
        <w:spacing w:line="500" w:lineRule="exact"/>
        <w:ind w:right="15" w:rightChars="7" w:firstLine="480"/>
        <w:rPr>
          <w:sz w:val="24"/>
        </w:rPr>
      </w:pPr>
      <w:r>
        <w:rPr>
          <w:rFonts w:hint="eastAsia"/>
          <w:sz w:val="24"/>
        </w:rPr>
        <w:t>本招标文件包括：</w:t>
      </w:r>
    </w:p>
    <w:p>
      <w:pPr>
        <w:tabs>
          <w:tab w:val="left" w:pos="7920"/>
        </w:tabs>
        <w:spacing w:line="500" w:lineRule="exact"/>
        <w:ind w:right="15" w:rightChars="7" w:firstLine="480"/>
        <w:rPr>
          <w:sz w:val="24"/>
        </w:rPr>
      </w:pPr>
      <w:r>
        <w:rPr>
          <w:rFonts w:hint="eastAsia"/>
          <w:sz w:val="24"/>
        </w:rPr>
        <w:t>（1）招标公告；</w:t>
      </w:r>
    </w:p>
    <w:p>
      <w:pPr>
        <w:tabs>
          <w:tab w:val="left" w:pos="7920"/>
        </w:tabs>
        <w:spacing w:line="500" w:lineRule="exact"/>
        <w:ind w:right="15" w:rightChars="7" w:firstLine="480"/>
        <w:rPr>
          <w:sz w:val="24"/>
        </w:rPr>
      </w:pPr>
      <w:r>
        <w:rPr>
          <w:rFonts w:hint="eastAsia"/>
          <w:sz w:val="24"/>
        </w:rPr>
        <w:t>（2）投标人须知；</w:t>
      </w:r>
    </w:p>
    <w:p>
      <w:pPr>
        <w:tabs>
          <w:tab w:val="left" w:pos="7920"/>
        </w:tabs>
        <w:spacing w:line="500" w:lineRule="exact"/>
        <w:ind w:right="15" w:rightChars="7" w:firstLine="480"/>
        <w:rPr>
          <w:sz w:val="24"/>
        </w:rPr>
      </w:pPr>
      <w:r>
        <w:rPr>
          <w:rFonts w:hint="eastAsia"/>
          <w:sz w:val="24"/>
        </w:rPr>
        <w:t>（3）项目相关情况说明及要求；</w:t>
      </w:r>
    </w:p>
    <w:p>
      <w:pPr>
        <w:tabs>
          <w:tab w:val="left" w:pos="7920"/>
        </w:tabs>
        <w:spacing w:line="500" w:lineRule="exact"/>
        <w:ind w:right="15" w:rightChars="7" w:firstLine="480"/>
        <w:rPr>
          <w:sz w:val="24"/>
        </w:rPr>
      </w:pPr>
      <w:r>
        <w:rPr>
          <w:rFonts w:hint="eastAsia"/>
          <w:sz w:val="24"/>
        </w:rPr>
        <w:t>（4）合同格式；</w:t>
      </w:r>
    </w:p>
    <w:p>
      <w:pPr>
        <w:tabs>
          <w:tab w:val="left" w:pos="7920"/>
        </w:tabs>
        <w:spacing w:line="500" w:lineRule="exact"/>
        <w:ind w:right="15" w:rightChars="7" w:firstLine="480"/>
        <w:rPr>
          <w:sz w:val="24"/>
        </w:rPr>
      </w:pPr>
      <w:r>
        <w:rPr>
          <w:rFonts w:hint="eastAsia"/>
          <w:sz w:val="24"/>
        </w:rPr>
        <w:t>（5）投标文件格式；</w:t>
      </w:r>
    </w:p>
    <w:p>
      <w:pPr>
        <w:tabs>
          <w:tab w:val="left" w:pos="7920"/>
        </w:tabs>
        <w:spacing w:line="500" w:lineRule="exact"/>
        <w:ind w:right="15" w:rightChars="7" w:firstLine="480"/>
        <w:rPr>
          <w:sz w:val="24"/>
        </w:rPr>
      </w:pPr>
      <w:r>
        <w:rPr>
          <w:rFonts w:hint="eastAsia"/>
          <w:sz w:val="24"/>
        </w:rPr>
        <w:t>（6）评标办法。</w:t>
      </w:r>
    </w:p>
    <w:p>
      <w:pPr>
        <w:tabs>
          <w:tab w:val="left" w:pos="7920"/>
        </w:tabs>
        <w:spacing w:line="500" w:lineRule="exact"/>
        <w:ind w:right="15" w:rightChars="7" w:firstLine="480"/>
        <w:rPr>
          <w:sz w:val="24"/>
        </w:rPr>
      </w:pPr>
      <w:r>
        <w:rPr>
          <w:sz w:val="24"/>
          <w:lang w:val="zh-TW"/>
        </w:rPr>
        <w:t>根据本章第</w:t>
      </w:r>
      <w:r>
        <w:rPr>
          <w:sz w:val="24"/>
        </w:rPr>
        <w:t>1.10</w:t>
      </w:r>
      <w:r>
        <w:rPr>
          <w:sz w:val="24"/>
          <w:lang w:val="zh-TW"/>
        </w:rPr>
        <w:t>款、第</w:t>
      </w:r>
      <w:r>
        <w:rPr>
          <w:sz w:val="24"/>
        </w:rPr>
        <w:t>2.2</w:t>
      </w:r>
      <w:r>
        <w:rPr>
          <w:sz w:val="24"/>
          <w:lang w:val="zh-TW"/>
        </w:rPr>
        <w:t>款和第</w:t>
      </w:r>
      <w:r>
        <w:rPr>
          <w:sz w:val="24"/>
        </w:rPr>
        <w:t>2.3</w:t>
      </w:r>
      <w:r>
        <w:rPr>
          <w:sz w:val="24"/>
          <w:lang w:val="zh-TW"/>
        </w:rPr>
        <w:t>款对招标文件所作的澄清、修改，构成招标文件的组成部分。</w:t>
      </w:r>
    </w:p>
    <w:p>
      <w:pPr>
        <w:tabs>
          <w:tab w:val="left" w:pos="7920"/>
        </w:tabs>
        <w:spacing w:line="500" w:lineRule="exact"/>
        <w:ind w:right="15" w:rightChars="7"/>
        <w:rPr>
          <w:b/>
          <w:sz w:val="24"/>
        </w:rPr>
      </w:pPr>
      <w:r>
        <w:rPr>
          <w:rFonts w:hint="eastAsia"/>
          <w:b/>
          <w:sz w:val="24"/>
        </w:rPr>
        <w:t>2.2招标文件的澄清</w:t>
      </w:r>
    </w:p>
    <w:p>
      <w:pPr>
        <w:tabs>
          <w:tab w:val="left" w:pos="7920"/>
        </w:tabs>
        <w:spacing w:line="500" w:lineRule="exact"/>
        <w:ind w:right="15" w:rightChars="7" w:firstLine="480"/>
        <w:rPr>
          <w:sz w:val="24"/>
        </w:rPr>
      </w:pPr>
      <w:r>
        <w:rPr>
          <w:sz w:val="24"/>
        </w:rPr>
        <w:t>2.2.1</w:t>
      </w:r>
      <w:r>
        <w:rPr>
          <w:sz w:val="24"/>
          <w:lang w:val="zh-TW"/>
        </w:rPr>
        <w:t>投标人应仔细阅读和检查招标文件的全部内容。如发现缺页或附件不全，应在</w:t>
      </w:r>
      <w:r>
        <w:rPr>
          <w:rFonts w:hint="eastAsia"/>
          <w:sz w:val="24"/>
          <w:lang w:val="zh-TW"/>
        </w:rPr>
        <w:t>招标公告</w:t>
      </w:r>
      <w:r>
        <w:rPr>
          <w:sz w:val="24"/>
          <w:lang w:val="zh-TW"/>
        </w:rPr>
        <w:t>规定的时间前及规定的方式向招标人提出，以便补齐。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r>
        <w:rPr>
          <w:bCs/>
          <w:sz w:val="24"/>
        </w:rPr>
        <w:t>并根据有关条款规定</w:t>
      </w:r>
      <w:r>
        <w:rPr>
          <w:sz w:val="24"/>
          <w:lang w:val="zh-TW"/>
        </w:rPr>
        <w:t>，该投标有可能被拒绝。如有疑问，应在</w:t>
      </w:r>
      <w:r>
        <w:rPr>
          <w:rFonts w:hint="eastAsia"/>
          <w:sz w:val="24"/>
          <w:lang w:val="zh-TW"/>
        </w:rPr>
        <w:t>招标公告</w:t>
      </w:r>
      <w:r>
        <w:rPr>
          <w:sz w:val="24"/>
          <w:lang w:val="zh-TW"/>
        </w:rPr>
        <w:t>规定的时间前及规定的方式提出，要求招标人对招标文件予以澄清。</w:t>
      </w:r>
    </w:p>
    <w:p>
      <w:pPr>
        <w:tabs>
          <w:tab w:val="left" w:pos="7920"/>
        </w:tabs>
        <w:spacing w:line="500" w:lineRule="exact"/>
        <w:ind w:right="15" w:rightChars="7" w:firstLine="480"/>
        <w:rPr>
          <w:sz w:val="24"/>
        </w:rPr>
      </w:pPr>
      <w:r>
        <w:rPr>
          <w:sz w:val="24"/>
        </w:rPr>
        <w:t>2.2.2招标文件的澄清将在投标截止时间15</w:t>
      </w:r>
      <w:r>
        <w:rPr>
          <w:rFonts w:hint="eastAsia"/>
          <w:sz w:val="24"/>
        </w:rPr>
        <w:t>日</w:t>
      </w:r>
      <w:r>
        <w:rPr>
          <w:sz w:val="24"/>
        </w:rPr>
        <w:t>前在</w:t>
      </w:r>
      <w:r>
        <w:rPr>
          <w:rFonts w:hint="eastAsia"/>
          <w:sz w:val="24"/>
        </w:rPr>
        <w:t>长沙公共资源交易电子服务平台</w:t>
      </w:r>
      <w:r>
        <w:rPr>
          <w:sz w:val="24"/>
        </w:rPr>
        <w:t>上发布澄清文件，但不指明澄清问题的来源，敬请获得招标文件的所有投标人关注，恕不另行通知，如有遗漏招标人概不负责。</w:t>
      </w:r>
      <w:r>
        <w:rPr>
          <w:sz w:val="24"/>
          <w:lang w:val="zh-TW"/>
        </w:rPr>
        <w:t>如果澄清发出的时间距投标截止时间不足</w:t>
      </w:r>
      <w:r>
        <w:rPr>
          <w:sz w:val="24"/>
        </w:rPr>
        <w:t>15</w:t>
      </w:r>
      <w:r>
        <w:rPr>
          <w:rFonts w:hint="eastAsia"/>
          <w:sz w:val="24"/>
          <w:lang w:val="zh-TW"/>
        </w:rPr>
        <w:t>日</w:t>
      </w:r>
      <w:r>
        <w:rPr>
          <w:sz w:val="24"/>
          <w:lang w:val="zh-TW"/>
        </w:rPr>
        <w:t>，且澄清内容影响投标文件编制的，相应延长投标截止时间。</w:t>
      </w:r>
    </w:p>
    <w:p>
      <w:pPr>
        <w:tabs>
          <w:tab w:val="left" w:pos="7920"/>
        </w:tabs>
        <w:spacing w:line="500" w:lineRule="exact"/>
        <w:ind w:right="15" w:rightChars="7"/>
        <w:rPr>
          <w:b/>
          <w:sz w:val="24"/>
        </w:rPr>
      </w:pPr>
      <w:r>
        <w:rPr>
          <w:rFonts w:hint="eastAsia"/>
          <w:b/>
          <w:sz w:val="24"/>
        </w:rPr>
        <w:t>2.3招标文件的修改</w:t>
      </w:r>
    </w:p>
    <w:p>
      <w:pPr>
        <w:tabs>
          <w:tab w:val="left" w:pos="7920"/>
        </w:tabs>
        <w:spacing w:line="500" w:lineRule="exact"/>
        <w:ind w:right="15" w:rightChars="7" w:firstLine="480" w:firstLineChars="200"/>
        <w:rPr>
          <w:sz w:val="24"/>
        </w:rPr>
      </w:pPr>
      <w:r>
        <w:rPr>
          <w:sz w:val="24"/>
        </w:rPr>
        <w:t>2.3.1在投标截止时间15</w:t>
      </w:r>
      <w:r>
        <w:rPr>
          <w:rFonts w:hint="eastAsia"/>
          <w:sz w:val="24"/>
        </w:rPr>
        <w:t>日</w:t>
      </w:r>
      <w:r>
        <w:rPr>
          <w:sz w:val="24"/>
        </w:rPr>
        <w:t>前，招标人可以修改招标文件，并在</w:t>
      </w:r>
      <w:r>
        <w:rPr>
          <w:rFonts w:hint="eastAsia"/>
          <w:sz w:val="24"/>
        </w:rPr>
        <w:t>长沙公共资源交易电子服务平台</w:t>
      </w:r>
      <w:r>
        <w:rPr>
          <w:sz w:val="24"/>
        </w:rPr>
        <w:t>上发布修改文件，敬请获得招标文件的所有投标人关注，恕不另行通知，如有遗漏招标人概不负责。</w:t>
      </w:r>
      <w:r>
        <w:rPr>
          <w:sz w:val="24"/>
          <w:lang w:val="zh-TW"/>
        </w:rPr>
        <w:t>如果修改招标文件的时间距投标截止时间不足</w:t>
      </w:r>
      <w:r>
        <w:rPr>
          <w:sz w:val="24"/>
        </w:rPr>
        <w:t>15</w:t>
      </w:r>
      <w:r>
        <w:rPr>
          <w:rFonts w:hint="eastAsia"/>
          <w:sz w:val="24"/>
          <w:lang w:val="zh-TW"/>
        </w:rPr>
        <w:t>日</w:t>
      </w:r>
      <w:r>
        <w:rPr>
          <w:sz w:val="24"/>
          <w:lang w:val="zh-TW"/>
        </w:rPr>
        <w:t>，且修改内容影响投标文件编制的，相应延长投标截止时间。</w:t>
      </w:r>
    </w:p>
    <w:p>
      <w:pPr>
        <w:tabs>
          <w:tab w:val="left" w:pos="7920"/>
        </w:tabs>
        <w:spacing w:line="500" w:lineRule="exact"/>
        <w:ind w:right="15" w:rightChars="7" w:firstLine="480" w:firstLineChars="200"/>
        <w:rPr>
          <w:sz w:val="24"/>
        </w:rPr>
      </w:pPr>
      <w:r>
        <w:rPr>
          <w:sz w:val="24"/>
        </w:rPr>
        <w:t>2.3.2</w:t>
      </w:r>
      <w:r>
        <w:rPr>
          <w:sz w:val="24"/>
          <w:lang w:val="zh-TW"/>
        </w:rPr>
        <w:t>当招标文件、招标文件的澄清、修改、补充等在同一内容的表述上不一致时，以最后发出的备案的书面文件为准。</w:t>
      </w:r>
    </w:p>
    <w:p>
      <w:pPr>
        <w:pStyle w:val="3"/>
        <w:numPr>
          <w:ilvl w:val="1"/>
          <w:numId w:val="0"/>
        </w:numPr>
        <w:spacing w:line="400" w:lineRule="exact"/>
        <w:jc w:val="center"/>
        <w:rPr>
          <w:rFonts w:ascii="宋体" w:hAnsi="宋体" w:eastAsia="宋体"/>
          <w:w w:val="100"/>
          <w:kern w:val="32"/>
        </w:rPr>
      </w:pPr>
      <w:r>
        <w:rPr>
          <w:rFonts w:hint="eastAsia" w:ascii="宋体" w:hAnsi="宋体" w:eastAsia="宋体"/>
          <w:w w:val="100"/>
          <w:kern w:val="32"/>
        </w:rPr>
        <w:t>3 投标文件</w:t>
      </w:r>
    </w:p>
    <w:p>
      <w:pPr>
        <w:tabs>
          <w:tab w:val="left" w:pos="7920"/>
        </w:tabs>
        <w:spacing w:line="500" w:lineRule="exact"/>
        <w:ind w:right="15" w:rightChars="7"/>
        <w:rPr>
          <w:b/>
          <w:sz w:val="24"/>
        </w:rPr>
      </w:pPr>
      <w:r>
        <w:rPr>
          <w:rFonts w:hint="eastAsia"/>
          <w:b/>
          <w:sz w:val="24"/>
        </w:rPr>
        <w:t>3.1投标文件的组成</w:t>
      </w:r>
    </w:p>
    <w:p>
      <w:pPr>
        <w:tabs>
          <w:tab w:val="left" w:pos="7920"/>
        </w:tabs>
        <w:spacing w:line="500" w:lineRule="exact"/>
        <w:ind w:right="15" w:rightChars="7" w:firstLine="480" w:firstLineChars="200"/>
        <w:rPr>
          <w:sz w:val="24"/>
        </w:rPr>
      </w:pPr>
      <w:r>
        <w:rPr>
          <w:rFonts w:hint="eastAsia"/>
          <w:sz w:val="24"/>
        </w:rPr>
        <w:t>投标文件具体要求及编制详见第五章“投标文件格式”。</w:t>
      </w:r>
    </w:p>
    <w:p>
      <w:pPr>
        <w:tabs>
          <w:tab w:val="left" w:pos="7920"/>
        </w:tabs>
        <w:spacing w:line="500" w:lineRule="exact"/>
        <w:ind w:right="15" w:rightChars="7"/>
        <w:rPr>
          <w:b/>
          <w:sz w:val="24"/>
        </w:rPr>
      </w:pPr>
      <w:r>
        <w:rPr>
          <w:rFonts w:hint="eastAsia"/>
          <w:b/>
          <w:sz w:val="24"/>
        </w:rPr>
        <w:t>3.2投标报价</w:t>
      </w:r>
    </w:p>
    <w:p>
      <w:pPr>
        <w:tabs>
          <w:tab w:val="left" w:pos="7920"/>
        </w:tabs>
        <w:spacing w:line="500" w:lineRule="exact"/>
        <w:ind w:right="15" w:rightChars="7" w:firstLine="480" w:firstLineChars="200"/>
        <w:rPr>
          <w:sz w:val="24"/>
        </w:rPr>
      </w:pPr>
      <w:r>
        <w:rPr>
          <w:rFonts w:hint="eastAsia"/>
          <w:sz w:val="24"/>
        </w:rPr>
        <w:t>3.2.1前三年租金起始底价43元/平米/月（包含场地租金、空调能耗费、基础物业费、税费、物业四周外墙及红线内室外区域的广告活动权益费），前两年给予经营免租期12个月（每年分摊6个月），经营免租期内不需要缴纳租金，但仍需承担8元/㎡/月的空调能耗费。租金前三年不递增，第四年（含）开始每两年递增5 %，</w:t>
      </w:r>
      <w:r>
        <w:rPr>
          <w:sz w:val="24"/>
        </w:rPr>
        <w:t>履约保证金为1个月租金</w:t>
      </w:r>
      <w:r>
        <w:rPr>
          <w:rFonts w:hint="eastAsia"/>
          <w:sz w:val="24"/>
        </w:rPr>
        <w:t>，</w:t>
      </w:r>
      <w:r>
        <w:rPr>
          <w:sz w:val="24"/>
        </w:rPr>
        <w:t>首期押一付六，</w:t>
      </w:r>
      <w:r>
        <w:rPr>
          <w:rFonts w:hint="eastAsia"/>
          <w:sz w:val="24"/>
        </w:rPr>
        <w:t>后期按季度支付租金；物业为现状交付，物业管理由中标人自行负责。</w:t>
      </w:r>
    </w:p>
    <w:p>
      <w:pPr>
        <w:tabs>
          <w:tab w:val="left" w:pos="7920"/>
        </w:tabs>
        <w:spacing w:line="500" w:lineRule="exact"/>
        <w:ind w:right="15" w:rightChars="7" w:firstLine="480" w:firstLineChars="200"/>
        <w:rPr>
          <w:sz w:val="24"/>
        </w:rPr>
      </w:pPr>
      <w:r>
        <w:rPr>
          <w:rFonts w:hint="eastAsia"/>
          <w:sz w:val="24"/>
        </w:rPr>
        <w:t>3.2.2投标人只允许对本项目有一个报价。提交了有选择的报价的，其投标无效。</w:t>
      </w:r>
    </w:p>
    <w:p>
      <w:pPr>
        <w:spacing w:line="400" w:lineRule="exact"/>
        <w:ind w:left="718" w:leftChars="1" w:hanging="716" w:hangingChars="297"/>
        <w:rPr>
          <w:b/>
          <w:bCs/>
          <w:sz w:val="24"/>
        </w:rPr>
      </w:pPr>
      <w:r>
        <w:rPr>
          <w:rFonts w:hint="eastAsia"/>
          <w:b/>
          <w:bCs/>
          <w:sz w:val="24"/>
        </w:rPr>
        <w:t>3.3投标有效期</w:t>
      </w:r>
    </w:p>
    <w:p>
      <w:pPr>
        <w:tabs>
          <w:tab w:val="left" w:pos="7920"/>
        </w:tabs>
        <w:spacing w:line="500" w:lineRule="exact"/>
        <w:ind w:left="-94" w:leftChars="-45" w:right="15" w:rightChars="7" w:firstLine="576" w:firstLineChars="240"/>
        <w:rPr>
          <w:sz w:val="24"/>
        </w:rPr>
      </w:pPr>
      <w:r>
        <w:rPr>
          <w:rFonts w:hint="eastAsia"/>
          <w:sz w:val="24"/>
        </w:rPr>
        <w:t>3.3.1从投标截止之日起，投标文件有效期为90天。投标有效期内，投标人不得要求撤销或修改其投标文件。</w:t>
      </w:r>
    </w:p>
    <w:p>
      <w:pPr>
        <w:tabs>
          <w:tab w:val="left" w:pos="7920"/>
        </w:tabs>
        <w:spacing w:line="500" w:lineRule="exact"/>
        <w:ind w:right="15" w:rightChars="7" w:firstLine="480" w:firstLineChars="200"/>
        <w:rPr>
          <w:sz w:val="24"/>
        </w:rPr>
      </w:pPr>
      <w:r>
        <w:rPr>
          <w:rFonts w:hint="eastAsia"/>
          <w:sz w:val="24"/>
        </w:rPr>
        <w:t>3.3.2特殊情况下，在投标有效期满之前，招标代理机构可要求投标人同意延长有效期，要求和答复均应以书面形式。投标人可拒绝上述要求而予以退还投标保证金。对于接受要求的投标人，既不要求也不允许其修改投标文件，有关投标保证金的规定在延长期内继续有效。</w:t>
      </w:r>
    </w:p>
    <w:p>
      <w:pPr>
        <w:spacing w:line="400" w:lineRule="exact"/>
        <w:ind w:left="718" w:leftChars="1" w:hanging="716" w:hangingChars="297"/>
        <w:rPr>
          <w:b/>
          <w:bCs/>
          <w:sz w:val="24"/>
        </w:rPr>
      </w:pPr>
      <w:r>
        <w:rPr>
          <w:rFonts w:hint="eastAsia"/>
          <w:b/>
          <w:bCs/>
          <w:sz w:val="24"/>
        </w:rPr>
        <w:t>3.4投标保证金</w:t>
      </w:r>
    </w:p>
    <w:p>
      <w:pPr>
        <w:tabs>
          <w:tab w:val="left" w:pos="7920"/>
        </w:tabs>
        <w:spacing w:line="500" w:lineRule="exact"/>
        <w:ind w:left="-94" w:leftChars="-45" w:right="15" w:rightChars="7" w:firstLine="576" w:firstLineChars="240"/>
        <w:rPr>
          <w:sz w:val="24"/>
        </w:rPr>
      </w:pPr>
      <w:r>
        <w:rPr>
          <w:rFonts w:hint="eastAsia"/>
          <w:sz w:val="24"/>
        </w:rPr>
        <w:t>3.4.1投标人在递交投标文件的同时，应按招标公告规定的金额、担保形式递交投标保证金，并作为其投标文件的组成部分。</w:t>
      </w:r>
    </w:p>
    <w:p>
      <w:pPr>
        <w:tabs>
          <w:tab w:val="left" w:pos="7920"/>
        </w:tabs>
        <w:spacing w:line="500" w:lineRule="exact"/>
        <w:ind w:left="-94" w:leftChars="-45" w:right="15" w:rightChars="7" w:firstLine="576" w:firstLineChars="240"/>
        <w:rPr>
          <w:sz w:val="24"/>
        </w:rPr>
      </w:pPr>
      <w:r>
        <w:rPr>
          <w:rFonts w:hint="eastAsia"/>
          <w:sz w:val="24"/>
        </w:rPr>
        <w:t>3.4.2投标人不按本章第3.4.1项要求提交投标保证金的，其投标文件作废标处理；</w:t>
      </w:r>
    </w:p>
    <w:p>
      <w:pPr>
        <w:tabs>
          <w:tab w:val="left" w:pos="7920"/>
        </w:tabs>
        <w:spacing w:line="500" w:lineRule="exact"/>
        <w:ind w:left="-94" w:leftChars="-45" w:right="15" w:rightChars="7" w:firstLine="576" w:firstLineChars="240"/>
        <w:rPr>
          <w:sz w:val="24"/>
        </w:rPr>
      </w:pPr>
      <w:r>
        <w:rPr>
          <w:rFonts w:hint="eastAsia"/>
          <w:sz w:val="24"/>
        </w:rPr>
        <w:t>3.4.3投标保证金的退还按《关于印发&lt;长沙公共资源交易投标保证金集中管理暂行办法&gt;的通知》(长发改[2011]232号)”规定办理。</w:t>
      </w:r>
    </w:p>
    <w:p>
      <w:pPr>
        <w:tabs>
          <w:tab w:val="left" w:pos="7920"/>
        </w:tabs>
        <w:spacing w:line="500" w:lineRule="exact"/>
        <w:ind w:left="-94" w:leftChars="-45" w:right="15" w:rightChars="7" w:firstLine="576" w:firstLineChars="240"/>
        <w:rPr>
          <w:sz w:val="24"/>
        </w:rPr>
      </w:pPr>
      <w:r>
        <w:rPr>
          <w:rFonts w:hint="eastAsia"/>
          <w:sz w:val="24"/>
        </w:rPr>
        <w:t>3.4.4有下列情形之一的，投标保证金将不予退还：</w:t>
      </w:r>
    </w:p>
    <w:p>
      <w:pPr>
        <w:tabs>
          <w:tab w:val="left" w:pos="7920"/>
        </w:tabs>
        <w:spacing w:line="500" w:lineRule="exact"/>
        <w:ind w:left="-94" w:leftChars="-45" w:right="15" w:rightChars="7" w:firstLine="576" w:firstLineChars="240"/>
        <w:rPr>
          <w:sz w:val="24"/>
        </w:rPr>
      </w:pPr>
      <w:r>
        <w:rPr>
          <w:rFonts w:hint="eastAsia"/>
          <w:sz w:val="24"/>
        </w:rPr>
        <w:t>（1）投标人递交投标文件后，在投标有效期内无正当理由擅自退出投标的；</w:t>
      </w:r>
    </w:p>
    <w:p>
      <w:pPr>
        <w:tabs>
          <w:tab w:val="left" w:pos="7920"/>
        </w:tabs>
        <w:spacing w:line="500" w:lineRule="exact"/>
        <w:ind w:left="-94" w:leftChars="-45" w:right="15" w:rightChars="7" w:firstLine="576" w:firstLineChars="240"/>
        <w:rPr>
          <w:sz w:val="24"/>
        </w:rPr>
      </w:pPr>
      <w:r>
        <w:rPr>
          <w:rFonts w:hint="eastAsia"/>
          <w:sz w:val="24"/>
        </w:rPr>
        <w:t>（2）《中标通知书》发出后，中标人无故放弃中标项目或无正当理由不与招标人签订合同的；</w:t>
      </w:r>
    </w:p>
    <w:p>
      <w:pPr>
        <w:tabs>
          <w:tab w:val="left" w:pos="7920"/>
        </w:tabs>
        <w:spacing w:line="500" w:lineRule="exact"/>
        <w:ind w:left="-94" w:leftChars="-45" w:right="15" w:rightChars="7" w:firstLine="576" w:firstLineChars="240"/>
        <w:rPr>
          <w:sz w:val="24"/>
        </w:rPr>
      </w:pPr>
      <w:r>
        <w:rPr>
          <w:rFonts w:hint="eastAsia"/>
          <w:sz w:val="24"/>
        </w:rPr>
        <w:t>（3）</w:t>
      </w:r>
      <w:r>
        <w:rPr>
          <w:sz w:val="24"/>
          <w:lang w:val="zh-TW"/>
        </w:rPr>
        <w:t>投标人在投标过程中以任何方式进行串标，违规违纪行为导致招标无法顺利进行</w:t>
      </w:r>
      <w:r>
        <w:rPr>
          <w:rFonts w:hint="eastAsia"/>
          <w:sz w:val="24"/>
        </w:rPr>
        <w:t>。</w:t>
      </w:r>
    </w:p>
    <w:p>
      <w:pPr>
        <w:tabs>
          <w:tab w:val="left" w:pos="7920"/>
        </w:tabs>
        <w:spacing w:line="500" w:lineRule="exact"/>
        <w:ind w:right="15" w:rightChars="7"/>
        <w:rPr>
          <w:b/>
          <w:sz w:val="24"/>
        </w:rPr>
      </w:pPr>
      <w:r>
        <w:rPr>
          <w:rFonts w:hint="eastAsia"/>
          <w:b/>
          <w:sz w:val="24"/>
        </w:rPr>
        <w:t>3.5资格审查</w:t>
      </w:r>
    </w:p>
    <w:p>
      <w:pPr>
        <w:tabs>
          <w:tab w:val="left" w:pos="7920"/>
        </w:tabs>
        <w:spacing w:line="500" w:lineRule="exact"/>
        <w:ind w:right="15" w:rightChars="7"/>
        <w:rPr>
          <w:sz w:val="24"/>
        </w:rPr>
      </w:pPr>
      <w:r>
        <w:rPr>
          <w:rFonts w:hint="eastAsia"/>
          <w:b/>
          <w:sz w:val="24"/>
        </w:rPr>
        <w:t xml:space="preserve">    </w:t>
      </w:r>
      <w:r>
        <w:rPr>
          <w:rFonts w:hint="eastAsia"/>
          <w:sz w:val="24"/>
        </w:rPr>
        <w:t>投标人在递交投标文件的同时，应递交资格审查资料原件一份和加盖单位公章的复印件两份。</w:t>
      </w:r>
    </w:p>
    <w:p>
      <w:pPr>
        <w:tabs>
          <w:tab w:val="left" w:pos="7920"/>
        </w:tabs>
        <w:spacing w:line="500" w:lineRule="exact"/>
        <w:ind w:right="15" w:rightChars="7"/>
        <w:rPr>
          <w:sz w:val="24"/>
        </w:rPr>
      </w:pPr>
      <w:r>
        <w:rPr>
          <w:rFonts w:hint="eastAsia"/>
          <w:b/>
          <w:sz w:val="24"/>
        </w:rPr>
        <w:t xml:space="preserve">  </w:t>
      </w:r>
      <w:r>
        <w:rPr>
          <w:rFonts w:hint="eastAsia"/>
          <w:sz w:val="24"/>
        </w:rPr>
        <w:t xml:space="preserve"> （1）企业法人营业执照（副本）；</w:t>
      </w:r>
    </w:p>
    <w:p>
      <w:pPr>
        <w:tabs>
          <w:tab w:val="left" w:pos="7920"/>
        </w:tabs>
        <w:spacing w:line="500" w:lineRule="exact"/>
        <w:ind w:right="15" w:rightChars="7"/>
        <w:rPr>
          <w:sz w:val="24"/>
        </w:rPr>
      </w:pPr>
      <w:r>
        <w:rPr>
          <w:rFonts w:hint="eastAsia"/>
          <w:sz w:val="24"/>
        </w:rPr>
        <w:t xml:space="preserve">   （2）企业基本账户开户许可证；</w:t>
      </w:r>
    </w:p>
    <w:p>
      <w:pPr>
        <w:tabs>
          <w:tab w:val="left" w:pos="7920"/>
        </w:tabs>
        <w:spacing w:line="500" w:lineRule="exact"/>
        <w:ind w:right="15" w:rightChars="7" w:firstLine="480"/>
        <w:rPr>
          <w:sz w:val="24"/>
        </w:rPr>
      </w:pPr>
      <w:r>
        <w:rPr>
          <w:rFonts w:hint="eastAsia"/>
          <w:sz w:val="24"/>
        </w:rPr>
        <w:t>投标人未按（1）～（2）项上述要求提供原件或原件提供不齐全或审查不合格的，由评标委员会视为资格审查不合格，为不合格投标人。</w:t>
      </w:r>
    </w:p>
    <w:p>
      <w:pPr>
        <w:tabs>
          <w:tab w:val="left" w:pos="7920"/>
        </w:tabs>
        <w:spacing w:line="500" w:lineRule="exact"/>
        <w:ind w:right="15" w:rightChars="7" w:firstLine="480"/>
        <w:rPr>
          <w:sz w:val="24"/>
        </w:rPr>
      </w:pPr>
      <w:r>
        <w:rPr>
          <w:rFonts w:hint="eastAsia"/>
          <w:sz w:val="24"/>
        </w:rPr>
        <w:t>如果证照因年检、年审等原因，不能带至开标现场的，应在开标时间前出示省（市）级及以上行政主管部门年检或年审等办理部门的正式证明（原件），并加盖出示证明单位的公章。</w:t>
      </w:r>
    </w:p>
    <w:p>
      <w:pPr>
        <w:tabs>
          <w:tab w:val="left" w:pos="7920"/>
        </w:tabs>
        <w:spacing w:line="500" w:lineRule="exact"/>
        <w:ind w:right="15" w:rightChars="7"/>
        <w:rPr>
          <w:b/>
          <w:sz w:val="24"/>
        </w:rPr>
      </w:pPr>
      <w:r>
        <w:rPr>
          <w:rFonts w:hint="eastAsia"/>
          <w:b/>
          <w:sz w:val="24"/>
        </w:rPr>
        <w:t>3.6备选投标方案</w:t>
      </w:r>
    </w:p>
    <w:p>
      <w:pPr>
        <w:tabs>
          <w:tab w:val="left" w:pos="7920"/>
        </w:tabs>
        <w:spacing w:line="500" w:lineRule="exact"/>
        <w:ind w:left="-94" w:leftChars="-45" w:right="15" w:rightChars="7" w:firstLine="576" w:firstLineChars="240"/>
        <w:rPr>
          <w:sz w:val="24"/>
        </w:rPr>
      </w:pPr>
      <w:r>
        <w:rPr>
          <w:rFonts w:hint="eastAsia"/>
          <w:sz w:val="24"/>
        </w:rPr>
        <w:t>不允许投标人递交备选投标方案。</w:t>
      </w:r>
    </w:p>
    <w:p>
      <w:pPr>
        <w:tabs>
          <w:tab w:val="left" w:pos="7920"/>
        </w:tabs>
        <w:spacing w:line="500" w:lineRule="exact"/>
        <w:ind w:right="15" w:rightChars="7"/>
        <w:rPr>
          <w:b/>
          <w:sz w:val="24"/>
        </w:rPr>
      </w:pPr>
      <w:r>
        <w:rPr>
          <w:rFonts w:hint="eastAsia"/>
          <w:b/>
          <w:sz w:val="24"/>
        </w:rPr>
        <w:t>3.7投标文件的编制</w:t>
      </w:r>
    </w:p>
    <w:p>
      <w:pPr>
        <w:tabs>
          <w:tab w:val="left" w:pos="7920"/>
        </w:tabs>
        <w:spacing w:line="500" w:lineRule="exact"/>
        <w:ind w:right="15" w:rightChars="7" w:firstLine="480"/>
        <w:rPr>
          <w:sz w:val="24"/>
        </w:rPr>
      </w:pPr>
      <w:r>
        <w:rPr>
          <w:rFonts w:hint="eastAsia"/>
          <w:sz w:val="24"/>
        </w:rPr>
        <w:t>3.7.1投标人应仔细阅读本文件的所有内容，按本文件的要求编制投标文件，并保证所提供的全部资料真实有效。</w:t>
      </w:r>
    </w:p>
    <w:p>
      <w:pPr>
        <w:tabs>
          <w:tab w:val="left" w:pos="7920"/>
        </w:tabs>
        <w:spacing w:line="500" w:lineRule="exact"/>
        <w:ind w:right="15" w:rightChars="7" w:firstLine="480"/>
        <w:rPr>
          <w:sz w:val="24"/>
        </w:rPr>
      </w:pPr>
      <w:r>
        <w:rPr>
          <w:rFonts w:hint="eastAsia"/>
          <w:sz w:val="24"/>
        </w:rPr>
        <w:t>3.7.2投标文件正本与副本应分别装订成册，并编制目录，要求胶装，不得使用活页装订，提倡双面打印。</w:t>
      </w:r>
    </w:p>
    <w:p>
      <w:pPr>
        <w:tabs>
          <w:tab w:val="left" w:pos="7920"/>
        </w:tabs>
        <w:spacing w:line="500" w:lineRule="exact"/>
        <w:ind w:right="15" w:rightChars="7" w:firstLine="480"/>
        <w:rPr>
          <w:sz w:val="24"/>
        </w:rPr>
      </w:pPr>
      <w:r>
        <w:rPr>
          <w:rFonts w:hint="eastAsia"/>
          <w:sz w:val="24"/>
        </w:rPr>
        <w:t>3.7.3投标文件正本一份，副本肆份，正本和副本的封面上应清楚的标记“正本”或“副本”的字样。当副本和正本不一致时，以正本为准。</w:t>
      </w:r>
    </w:p>
    <w:p>
      <w:pPr>
        <w:tabs>
          <w:tab w:val="left" w:pos="7920"/>
        </w:tabs>
        <w:spacing w:line="500" w:lineRule="exact"/>
        <w:ind w:right="15" w:rightChars="7" w:firstLine="480"/>
        <w:rPr>
          <w:sz w:val="24"/>
        </w:rPr>
      </w:pPr>
      <w:r>
        <w:rPr>
          <w:rFonts w:hint="eastAsia"/>
          <w:sz w:val="24"/>
        </w:rPr>
        <w:t>3.7.4投标文件应用不褪色的材料书写、打印或复印，并由投标人的法定代表人或其委托代理人签字或盖单位公章。委托代理人签字的，投标文件应附法定代表人签署的授权委托书。投标文件应尽量避免涂改、行间插字或删除。如果出现上述情况，改动之处应加盖单位公章或由投标人的法定代表人或其委托代理人签字确认。</w:t>
      </w:r>
    </w:p>
    <w:p>
      <w:pPr>
        <w:tabs>
          <w:tab w:val="left" w:pos="7920"/>
        </w:tabs>
        <w:spacing w:line="500" w:lineRule="exact"/>
        <w:ind w:right="15" w:rightChars="7" w:firstLine="480"/>
        <w:rPr>
          <w:sz w:val="24"/>
        </w:rPr>
      </w:pPr>
      <w:r>
        <w:rPr>
          <w:rFonts w:hint="eastAsia"/>
          <w:sz w:val="24"/>
        </w:rPr>
        <w:t>3.7.5投标文件应当采用纸制书面方式，由投标人按照本招标文件指定的投标地点进行现场投标，招标代理机构不接受电报、电话、传真、邮寄等方式投标。</w:t>
      </w:r>
    </w:p>
    <w:p>
      <w:pPr>
        <w:tabs>
          <w:tab w:val="left" w:pos="7920"/>
        </w:tabs>
        <w:spacing w:line="500" w:lineRule="exact"/>
        <w:ind w:left="-94" w:leftChars="-45" w:right="15" w:rightChars="7" w:firstLine="576" w:firstLineChars="240"/>
        <w:rPr>
          <w:sz w:val="24"/>
        </w:rPr>
      </w:pPr>
      <w:r>
        <w:rPr>
          <w:rFonts w:hint="eastAsia"/>
          <w:sz w:val="24"/>
        </w:rPr>
        <w:t>3.7.6以同一投标人名义，递交两套或以上的投标文件，其投标无效。</w:t>
      </w:r>
    </w:p>
    <w:p>
      <w:pPr>
        <w:pStyle w:val="3"/>
        <w:numPr>
          <w:ilvl w:val="1"/>
          <w:numId w:val="0"/>
        </w:numPr>
        <w:spacing w:line="400" w:lineRule="exact"/>
        <w:jc w:val="center"/>
        <w:rPr>
          <w:rFonts w:ascii="宋体" w:hAnsi="宋体" w:eastAsia="宋体"/>
          <w:w w:val="100"/>
          <w:kern w:val="32"/>
        </w:rPr>
      </w:pPr>
      <w:r>
        <w:rPr>
          <w:rFonts w:hint="eastAsia" w:ascii="宋体" w:hAnsi="宋体" w:eastAsia="宋体"/>
          <w:w w:val="100"/>
          <w:kern w:val="32"/>
        </w:rPr>
        <w:t>4 投标</w:t>
      </w:r>
    </w:p>
    <w:p>
      <w:pPr>
        <w:tabs>
          <w:tab w:val="left" w:pos="7920"/>
        </w:tabs>
        <w:spacing w:line="500" w:lineRule="exact"/>
        <w:ind w:right="15" w:rightChars="7"/>
        <w:rPr>
          <w:b/>
          <w:sz w:val="24"/>
        </w:rPr>
      </w:pPr>
      <w:r>
        <w:rPr>
          <w:rFonts w:hint="eastAsia"/>
          <w:b/>
          <w:sz w:val="24"/>
        </w:rPr>
        <w:t>4.1投标文件的密封和标识</w:t>
      </w:r>
    </w:p>
    <w:p>
      <w:pPr>
        <w:tabs>
          <w:tab w:val="left" w:pos="7920"/>
        </w:tabs>
        <w:spacing w:line="500" w:lineRule="exact"/>
        <w:ind w:right="15" w:rightChars="7" w:firstLine="480"/>
        <w:rPr>
          <w:sz w:val="24"/>
        </w:rPr>
      </w:pPr>
      <w:r>
        <w:rPr>
          <w:rFonts w:hint="eastAsia"/>
          <w:sz w:val="24"/>
        </w:rPr>
        <w:t>4.1.1投标文件的密封：投标人应将投标文件密封后提交。</w:t>
      </w:r>
    </w:p>
    <w:p>
      <w:pPr>
        <w:tabs>
          <w:tab w:val="left" w:pos="7920"/>
        </w:tabs>
        <w:spacing w:line="500" w:lineRule="exact"/>
        <w:ind w:left="-94" w:leftChars="-45" w:right="15" w:rightChars="7" w:firstLine="576" w:firstLineChars="240"/>
        <w:rPr>
          <w:sz w:val="24"/>
        </w:rPr>
      </w:pPr>
      <w:r>
        <w:rPr>
          <w:rFonts w:hint="eastAsia"/>
          <w:sz w:val="24"/>
        </w:rPr>
        <w:t>4.1.2投标文件的标识：投标文件应包装后加贴封条，并在封套的封口处加盖投标人单位公章。投标文件的封套上至少要写明以下内容：</w:t>
      </w:r>
    </w:p>
    <w:p>
      <w:pPr>
        <w:tabs>
          <w:tab w:val="left" w:pos="7920"/>
        </w:tabs>
        <w:spacing w:line="500" w:lineRule="exact"/>
        <w:ind w:left="-94" w:leftChars="-45" w:right="15" w:rightChars="7" w:firstLine="576" w:firstLineChars="240"/>
        <w:rPr>
          <w:sz w:val="24"/>
          <w:u w:val="single"/>
        </w:rPr>
      </w:pPr>
      <w:r>
        <w:rPr>
          <w:rFonts w:hint="eastAsia"/>
          <w:sz w:val="24"/>
        </w:rPr>
        <w:t>招标人名称：</w:t>
      </w:r>
      <w:bookmarkStart w:id="27" w:name="S_2_042"/>
      <w:r>
        <w:rPr>
          <w:rFonts w:hint="eastAsia"/>
          <w:sz w:val="24"/>
          <w:u w:val="single"/>
        </w:rPr>
        <w:t xml:space="preserve">                        </w:t>
      </w:r>
      <w:bookmarkEnd w:id="27"/>
    </w:p>
    <w:p>
      <w:pPr>
        <w:tabs>
          <w:tab w:val="left" w:pos="7920"/>
        </w:tabs>
        <w:spacing w:line="500" w:lineRule="exact"/>
        <w:ind w:left="-94" w:leftChars="-45" w:right="15" w:rightChars="7" w:firstLine="576" w:firstLineChars="240"/>
        <w:rPr>
          <w:sz w:val="24"/>
        </w:rPr>
      </w:pPr>
      <w:r>
        <w:rPr>
          <w:rFonts w:hint="eastAsia"/>
          <w:sz w:val="24"/>
        </w:rPr>
        <w:t>投标人全称：</w:t>
      </w:r>
      <w:bookmarkStart w:id="28" w:name="S_2_043"/>
      <w:r>
        <w:rPr>
          <w:rFonts w:hint="eastAsia"/>
          <w:sz w:val="24"/>
          <w:u w:val="single"/>
        </w:rPr>
        <w:t xml:space="preserve">                      </w:t>
      </w:r>
      <w:bookmarkEnd w:id="28"/>
    </w:p>
    <w:p>
      <w:pPr>
        <w:tabs>
          <w:tab w:val="left" w:pos="7920"/>
        </w:tabs>
        <w:spacing w:line="500" w:lineRule="exact"/>
        <w:ind w:left="-94" w:leftChars="-45" w:right="15" w:rightChars="7" w:firstLine="576" w:firstLineChars="240"/>
        <w:rPr>
          <w:sz w:val="24"/>
        </w:rPr>
      </w:pPr>
      <w:r>
        <w:rPr>
          <w:rFonts w:hint="eastAsia"/>
          <w:sz w:val="24"/>
        </w:rPr>
        <w:t>投标人的地址：</w:t>
      </w:r>
      <w:bookmarkStart w:id="29" w:name="S_2_044"/>
      <w:r>
        <w:rPr>
          <w:rFonts w:hint="eastAsia"/>
          <w:sz w:val="24"/>
          <w:u w:val="single"/>
        </w:rPr>
        <w:t xml:space="preserve">                    </w:t>
      </w:r>
      <w:bookmarkEnd w:id="29"/>
    </w:p>
    <w:p>
      <w:pPr>
        <w:tabs>
          <w:tab w:val="left" w:pos="7920"/>
        </w:tabs>
        <w:spacing w:line="500" w:lineRule="exact"/>
        <w:ind w:left="-94" w:leftChars="-45" w:right="15" w:rightChars="7" w:firstLine="576" w:firstLineChars="240"/>
        <w:rPr>
          <w:sz w:val="24"/>
        </w:rPr>
      </w:pPr>
      <w:r>
        <w:rPr>
          <w:rFonts w:hint="eastAsia"/>
          <w:sz w:val="24"/>
          <w:u w:val="single"/>
        </w:rPr>
        <w:t xml:space="preserve">（项目名称）   </w:t>
      </w:r>
      <w:r>
        <w:rPr>
          <w:rFonts w:hint="eastAsia"/>
          <w:sz w:val="24"/>
        </w:rPr>
        <w:t>投标文件在</w:t>
      </w:r>
      <w:r>
        <w:rPr>
          <w:rFonts w:hint="eastAsia"/>
          <w:sz w:val="24"/>
          <w:u w:val="single"/>
        </w:rPr>
        <w:t xml:space="preserve">               </w:t>
      </w:r>
      <w:r>
        <w:rPr>
          <w:rFonts w:hint="eastAsia"/>
          <w:sz w:val="24"/>
        </w:rPr>
        <w:t>（投标截止时间）前不得开启</w:t>
      </w:r>
    </w:p>
    <w:p>
      <w:pPr>
        <w:tabs>
          <w:tab w:val="left" w:pos="7920"/>
        </w:tabs>
        <w:spacing w:line="500" w:lineRule="exact"/>
        <w:ind w:left="-94" w:leftChars="-45" w:right="15" w:rightChars="7" w:firstLine="576" w:firstLineChars="240"/>
        <w:rPr>
          <w:sz w:val="24"/>
        </w:rPr>
      </w:pPr>
      <w:r>
        <w:rPr>
          <w:rFonts w:hint="eastAsia"/>
          <w:sz w:val="24"/>
        </w:rPr>
        <w:t>4.1.3未按本章第4.1.1项要求密封的投标文件，招标人不予受理。未按本章第4.1.2项要求加写标记的投标文件，招标人将不承担投标文件提前开封的责任。</w:t>
      </w:r>
    </w:p>
    <w:p>
      <w:pPr>
        <w:tabs>
          <w:tab w:val="left" w:pos="7920"/>
        </w:tabs>
        <w:spacing w:line="500" w:lineRule="exact"/>
        <w:ind w:right="15" w:rightChars="7"/>
        <w:rPr>
          <w:b/>
          <w:sz w:val="24"/>
        </w:rPr>
      </w:pPr>
      <w:r>
        <w:rPr>
          <w:rFonts w:hint="eastAsia"/>
          <w:b/>
          <w:sz w:val="24"/>
        </w:rPr>
        <w:t>4.2投标文件的递交</w:t>
      </w:r>
    </w:p>
    <w:p>
      <w:pPr>
        <w:tabs>
          <w:tab w:val="left" w:pos="7920"/>
        </w:tabs>
        <w:spacing w:line="500" w:lineRule="exact"/>
        <w:ind w:left="-94" w:leftChars="-45" w:right="15" w:rightChars="7" w:firstLine="576" w:firstLineChars="240"/>
        <w:rPr>
          <w:sz w:val="24"/>
        </w:rPr>
      </w:pPr>
      <w:r>
        <w:rPr>
          <w:rFonts w:hint="eastAsia"/>
          <w:sz w:val="24"/>
        </w:rPr>
        <w:t>4.2.1</w:t>
      </w:r>
      <w:r>
        <w:rPr>
          <w:sz w:val="24"/>
          <w:lang w:val="zh-TW"/>
        </w:rPr>
        <w:t>投标人应在</w:t>
      </w:r>
      <w:r>
        <w:rPr>
          <w:rFonts w:hint="eastAsia"/>
          <w:sz w:val="24"/>
          <w:lang w:val="zh-TW"/>
        </w:rPr>
        <w:t>招标公告</w:t>
      </w:r>
      <w:r>
        <w:rPr>
          <w:sz w:val="24"/>
          <w:lang w:val="zh-TW"/>
        </w:rPr>
        <w:t>规定的投标截止时间前递交投标文件。资格审查资料原件待评标结束后退还。</w:t>
      </w:r>
    </w:p>
    <w:p>
      <w:pPr>
        <w:tabs>
          <w:tab w:val="left" w:pos="7920"/>
        </w:tabs>
        <w:spacing w:line="500" w:lineRule="exact"/>
        <w:ind w:left="-94" w:leftChars="-45" w:right="15" w:rightChars="7" w:firstLine="576" w:firstLineChars="240"/>
        <w:rPr>
          <w:sz w:val="24"/>
        </w:rPr>
      </w:pPr>
      <w:bookmarkStart w:id="30" w:name="_Hlt232501854"/>
      <w:bookmarkEnd w:id="30"/>
      <w:r>
        <w:rPr>
          <w:rFonts w:hint="eastAsia"/>
          <w:sz w:val="24"/>
        </w:rPr>
        <w:t>4.2.2投标人递交投标文件的地点：见招标公告。</w:t>
      </w:r>
    </w:p>
    <w:p>
      <w:pPr>
        <w:tabs>
          <w:tab w:val="left" w:pos="7920"/>
        </w:tabs>
        <w:spacing w:line="500" w:lineRule="exact"/>
        <w:ind w:left="-94" w:leftChars="-45" w:right="15" w:rightChars="7" w:firstLine="576" w:firstLineChars="240"/>
        <w:rPr>
          <w:sz w:val="24"/>
        </w:rPr>
      </w:pPr>
      <w:r>
        <w:rPr>
          <w:rFonts w:hint="eastAsia"/>
          <w:sz w:val="24"/>
        </w:rPr>
        <w:t>4.2.3除招标文件另有规定外，投标人所递交的投标文件不予退还。</w:t>
      </w:r>
    </w:p>
    <w:p>
      <w:pPr>
        <w:tabs>
          <w:tab w:val="left" w:pos="7920"/>
        </w:tabs>
        <w:spacing w:line="500" w:lineRule="exact"/>
        <w:ind w:left="-94" w:leftChars="-45" w:right="15" w:rightChars="7" w:firstLine="576" w:firstLineChars="240"/>
        <w:rPr>
          <w:sz w:val="24"/>
        </w:rPr>
      </w:pPr>
      <w:r>
        <w:rPr>
          <w:rFonts w:hint="eastAsia"/>
          <w:sz w:val="24"/>
        </w:rPr>
        <w:t>4.2.4</w:t>
      </w:r>
      <w:r>
        <w:rPr>
          <w:sz w:val="24"/>
          <w:lang w:val="zh-TW"/>
        </w:rPr>
        <w:t>逾期送达的或者未送达指定地点</w:t>
      </w:r>
      <w:r>
        <w:rPr>
          <w:rFonts w:hint="eastAsia"/>
          <w:sz w:val="24"/>
          <w:lang w:val="zh-TW"/>
        </w:rPr>
        <w:t>的</w:t>
      </w:r>
      <w:r>
        <w:rPr>
          <w:sz w:val="24"/>
          <w:lang w:val="zh-TW"/>
        </w:rPr>
        <w:t>或未按要求密封</w:t>
      </w:r>
      <w:r>
        <w:rPr>
          <w:rFonts w:hint="eastAsia"/>
          <w:sz w:val="24"/>
          <w:lang w:val="zh-TW"/>
        </w:rPr>
        <w:t>的</w:t>
      </w:r>
      <w:r>
        <w:rPr>
          <w:sz w:val="24"/>
          <w:lang w:val="zh-TW"/>
        </w:rPr>
        <w:t>投标文件，招标人不予受理。</w:t>
      </w:r>
    </w:p>
    <w:p>
      <w:pPr>
        <w:tabs>
          <w:tab w:val="left" w:pos="7920"/>
        </w:tabs>
        <w:spacing w:line="500" w:lineRule="exact"/>
        <w:ind w:right="15" w:rightChars="7"/>
        <w:rPr>
          <w:b/>
          <w:sz w:val="24"/>
        </w:rPr>
      </w:pPr>
      <w:r>
        <w:rPr>
          <w:rFonts w:hint="eastAsia"/>
          <w:b/>
          <w:sz w:val="24"/>
        </w:rPr>
        <w:t>4.3投标文件的修改与撤回</w:t>
      </w:r>
    </w:p>
    <w:p>
      <w:pPr>
        <w:tabs>
          <w:tab w:val="left" w:pos="7920"/>
        </w:tabs>
        <w:spacing w:line="500" w:lineRule="exact"/>
        <w:ind w:left="-94" w:leftChars="-45" w:right="15" w:rightChars="7" w:firstLine="576" w:firstLineChars="240"/>
        <w:rPr>
          <w:sz w:val="24"/>
        </w:rPr>
      </w:pPr>
      <w:r>
        <w:rPr>
          <w:sz w:val="24"/>
        </w:rPr>
        <w:t>4</w:t>
      </w:r>
      <w:r>
        <w:rPr>
          <w:rFonts w:hint="eastAsia"/>
          <w:sz w:val="24"/>
        </w:rPr>
        <w:t>.3.1在招标公告规定的投标截止时间前，投标人可以修改或撤回已递交的投标文件，但应以书面形式通知招标人。</w:t>
      </w:r>
    </w:p>
    <w:p>
      <w:pPr>
        <w:tabs>
          <w:tab w:val="left" w:pos="7920"/>
        </w:tabs>
        <w:spacing w:line="500" w:lineRule="exact"/>
        <w:ind w:left="-94" w:leftChars="-45" w:right="15" w:rightChars="7" w:firstLine="576" w:firstLineChars="240"/>
        <w:rPr>
          <w:sz w:val="24"/>
        </w:rPr>
      </w:pPr>
      <w:r>
        <w:rPr>
          <w:sz w:val="24"/>
        </w:rPr>
        <w:t>4</w:t>
      </w:r>
      <w:r>
        <w:rPr>
          <w:rFonts w:hint="eastAsia"/>
          <w:sz w:val="24"/>
        </w:rPr>
        <w:t>.3.2投标人修改或撤回已递交投标文件的书面通知应按照本章第</w:t>
      </w:r>
      <w:r>
        <w:rPr>
          <w:sz w:val="24"/>
        </w:rPr>
        <w:t>3</w:t>
      </w:r>
      <w:r>
        <w:rPr>
          <w:rFonts w:hint="eastAsia"/>
          <w:sz w:val="24"/>
        </w:rPr>
        <w:t>.7.4项的要求签字或盖章。招标人收到书面通知后，向投标人出具签收凭证。</w:t>
      </w:r>
    </w:p>
    <w:p>
      <w:pPr>
        <w:tabs>
          <w:tab w:val="left" w:pos="7920"/>
        </w:tabs>
        <w:spacing w:line="500" w:lineRule="exact"/>
        <w:ind w:left="-94" w:leftChars="-45" w:right="15" w:rightChars="7" w:firstLine="576" w:firstLineChars="240"/>
        <w:rPr>
          <w:sz w:val="24"/>
        </w:rPr>
      </w:pPr>
      <w:r>
        <w:rPr>
          <w:sz w:val="24"/>
        </w:rPr>
        <w:t>4</w:t>
      </w:r>
      <w:r>
        <w:rPr>
          <w:rFonts w:hint="eastAsia"/>
          <w:sz w:val="24"/>
        </w:rPr>
        <w:t>.3.3修改的内容为投标文件的组成部分。修改的投标文件应按照本章第</w:t>
      </w:r>
      <w:r>
        <w:rPr>
          <w:sz w:val="24"/>
        </w:rPr>
        <w:t>3</w:t>
      </w:r>
      <w:r>
        <w:rPr>
          <w:rFonts w:hint="eastAsia"/>
          <w:sz w:val="24"/>
        </w:rPr>
        <w:t>条、第</w:t>
      </w:r>
      <w:r>
        <w:rPr>
          <w:sz w:val="24"/>
        </w:rPr>
        <w:t>4</w:t>
      </w:r>
      <w:r>
        <w:rPr>
          <w:rFonts w:hint="eastAsia"/>
          <w:sz w:val="24"/>
        </w:rPr>
        <w:t>条规定进行编制、密封、标记和递交，并标明“修改”字样。</w:t>
      </w:r>
    </w:p>
    <w:p>
      <w:pPr>
        <w:pStyle w:val="3"/>
        <w:numPr>
          <w:ilvl w:val="1"/>
          <w:numId w:val="0"/>
        </w:numPr>
        <w:spacing w:line="400" w:lineRule="exact"/>
        <w:jc w:val="center"/>
        <w:rPr>
          <w:rFonts w:ascii="宋体" w:hAnsi="宋体" w:eastAsia="宋体"/>
          <w:w w:val="100"/>
          <w:kern w:val="32"/>
        </w:rPr>
      </w:pPr>
      <w:bookmarkStart w:id="31" w:name="_Toc321052826"/>
      <w:bookmarkStart w:id="32" w:name="_Toc318840499"/>
      <w:bookmarkStart w:id="33" w:name="_Toc318840498"/>
      <w:bookmarkStart w:id="34" w:name="_Toc321052825"/>
      <w:r>
        <w:rPr>
          <w:rFonts w:hint="eastAsia" w:ascii="宋体" w:hAnsi="宋体" w:eastAsia="宋体"/>
          <w:w w:val="100"/>
          <w:kern w:val="32"/>
        </w:rPr>
        <w:t>5 开标</w:t>
      </w:r>
      <w:bookmarkEnd w:id="31"/>
      <w:bookmarkEnd w:id="32"/>
      <w:r>
        <w:rPr>
          <w:rFonts w:hint="eastAsia" w:ascii="宋体" w:hAnsi="宋体" w:eastAsia="宋体"/>
          <w:w w:val="100"/>
          <w:kern w:val="32"/>
        </w:rPr>
        <w:t>及资格后审</w:t>
      </w:r>
    </w:p>
    <w:p>
      <w:pPr>
        <w:tabs>
          <w:tab w:val="left" w:pos="7920"/>
        </w:tabs>
        <w:spacing w:line="500" w:lineRule="exact"/>
        <w:ind w:right="15" w:rightChars="7"/>
        <w:rPr>
          <w:b/>
          <w:sz w:val="24"/>
        </w:rPr>
      </w:pPr>
      <w:r>
        <w:rPr>
          <w:rFonts w:hint="eastAsia"/>
          <w:b/>
          <w:sz w:val="24"/>
        </w:rPr>
        <w:t>5.1开标时间和地点</w:t>
      </w:r>
    </w:p>
    <w:p>
      <w:pPr>
        <w:tabs>
          <w:tab w:val="left" w:pos="7920"/>
        </w:tabs>
        <w:spacing w:line="500" w:lineRule="exact"/>
        <w:ind w:left="-94" w:leftChars="-45" w:right="15" w:rightChars="7" w:firstLine="576" w:firstLineChars="240"/>
        <w:rPr>
          <w:sz w:val="24"/>
        </w:rPr>
      </w:pPr>
      <w:r>
        <w:rPr>
          <w:rFonts w:hint="eastAsia"/>
          <w:sz w:val="24"/>
        </w:rPr>
        <w:t>招标人在投标人须知第4.2.1条规定的投标截止时间（开标时间）和投标人须知第4.2.2条规定的地点公开开标，</w:t>
      </w:r>
      <w:r>
        <w:rPr>
          <w:sz w:val="24"/>
        </w:rPr>
        <w:t>召开开标会议时，投标人必须派法定代表人持法定代表人证明</w:t>
      </w:r>
      <w:r>
        <w:rPr>
          <w:rFonts w:hint="eastAsia"/>
          <w:sz w:val="24"/>
        </w:rPr>
        <w:t>身份</w:t>
      </w:r>
      <w:r>
        <w:rPr>
          <w:sz w:val="24"/>
        </w:rPr>
        <w:t>原件</w:t>
      </w:r>
      <w:r>
        <w:rPr>
          <w:rFonts w:hint="eastAsia"/>
          <w:sz w:val="24"/>
        </w:rPr>
        <w:t>和本人身份证原件（</w:t>
      </w:r>
      <w:r>
        <w:rPr>
          <w:sz w:val="24"/>
        </w:rPr>
        <w:t>或其授权委托代理人持授权委托书</w:t>
      </w:r>
      <w:r>
        <w:rPr>
          <w:rFonts w:hint="eastAsia"/>
          <w:sz w:val="24"/>
        </w:rPr>
        <w:t>原件、本人身份证原件）、《投标承诺书》原件、投标文件准时参加。</w:t>
      </w:r>
    </w:p>
    <w:p>
      <w:pPr>
        <w:tabs>
          <w:tab w:val="left" w:pos="7920"/>
        </w:tabs>
        <w:spacing w:line="500" w:lineRule="exact"/>
        <w:ind w:right="15" w:rightChars="7"/>
        <w:rPr>
          <w:b/>
          <w:sz w:val="24"/>
        </w:rPr>
      </w:pPr>
      <w:r>
        <w:rPr>
          <w:rFonts w:hint="eastAsia"/>
          <w:b/>
          <w:sz w:val="24"/>
        </w:rPr>
        <w:t>5.2</w:t>
      </w:r>
      <w:r>
        <w:rPr>
          <w:b/>
          <w:sz w:val="24"/>
        </w:rPr>
        <w:t>投标文件有下列情形之一的，招标人不予受理：</w:t>
      </w:r>
    </w:p>
    <w:p>
      <w:pPr>
        <w:tabs>
          <w:tab w:val="left" w:pos="7920"/>
        </w:tabs>
        <w:spacing w:line="500" w:lineRule="exact"/>
        <w:ind w:left="-94" w:leftChars="-45" w:right="15" w:rightChars="7" w:firstLine="576" w:firstLineChars="240"/>
        <w:rPr>
          <w:sz w:val="24"/>
        </w:rPr>
      </w:pPr>
      <w:r>
        <w:rPr>
          <w:sz w:val="24"/>
        </w:rPr>
        <w:t>5.2.1逾期送达的或者未送达指定地点的；</w:t>
      </w:r>
    </w:p>
    <w:p>
      <w:pPr>
        <w:tabs>
          <w:tab w:val="left" w:pos="7920"/>
        </w:tabs>
        <w:spacing w:line="500" w:lineRule="exact"/>
        <w:ind w:left="-94" w:leftChars="-45" w:right="15" w:rightChars="7" w:firstLine="576" w:firstLineChars="240"/>
        <w:rPr>
          <w:sz w:val="24"/>
        </w:rPr>
      </w:pPr>
      <w:r>
        <w:rPr>
          <w:sz w:val="24"/>
        </w:rPr>
        <w:t>5.2.2未按招标文件要求密封的。</w:t>
      </w:r>
    </w:p>
    <w:p>
      <w:pPr>
        <w:tabs>
          <w:tab w:val="left" w:pos="7920"/>
        </w:tabs>
        <w:spacing w:line="500" w:lineRule="exact"/>
        <w:ind w:right="15" w:rightChars="7"/>
        <w:rPr>
          <w:b/>
          <w:sz w:val="24"/>
        </w:rPr>
      </w:pPr>
      <w:r>
        <w:rPr>
          <w:rFonts w:hint="eastAsia"/>
          <w:b/>
          <w:sz w:val="24"/>
        </w:rPr>
        <w:t>5.3开标程序</w:t>
      </w:r>
    </w:p>
    <w:p>
      <w:pPr>
        <w:tabs>
          <w:tab w:val="left" w:pos="7920"/>
        </w:tabs>
        <w:spacing w:line="500" w:lineRule="exact"/>
        <w:ind w:left="-94" w:leftChars="-45" w:right="15" w:rightChars="7" w:firstLine="576" w:firstLineChars="240"/>
        <w:rPr>
          <w:sz w:val="24"/>
        </w:rPr>
      </w:pPr>
      <w:r>
        <w:rPr>
          <w:rFonts w:hint="eastAsia"/>
          <w:sz w:val="24"/>
        </w:rPr>
        <w:t>5.3.1宣布开标纪律；</w:t>
      </w:r>
    </w:p>
    <w:p>
      <w:pPr>
        <w:tabs>
          <w:tab w:val="left" w:pos="7920"/>
        </w:tabs>
        <w:spacing w:line="500" w:lineRule="exact"/>
        <w:ind w:left="-94" w:leftChars="-45" w:right="15" w:rightChars="7" w:firstLine="576" w:firstLineChars="240"/>
        <w:rPr>
          <w:sz w:val="24"/>
        </w:rPr>
      </w:pPr>
      <w:r>
        <w:rPr>
          <w:rFonts w:hint="eastAsia"/>
          <w:sz w:val="24"/>
        </w:rPr>
        <w:t>5.3.2公布在投标截止时间前递交投标文件的投标人名称，并点名确认投标人是否派人到场；</w:t>
      </w:r>
    </w:p>
    <w:p>
      <w:pPr>
        <w:tabs>
          <w:tab w:val="left" w:pos="7920"/>
        </w:tabs>
        <w:spacing w:line="500" w:lineRule="exact"/>
        <w:ind w:left="-94" w:leftChars="-45" w:right="15" w:rightChars="7" w:firstLine="576" w:firstLineChars="240"/>
        <w:rPr>
          <w:sz w:val="24"/>
        </w:rPr>
      </w:pPr>
      <w:r>
        <w:rPr>
          <w:rFonts w:hint="eastAsia"/>
          <w:sz w:val="24"/>
        </w:rPr>
        <w:t>5.3.3宣布开标人、唱标人、记录人、监督人等有关人员名单；</w:t>
      </w:r>
    </w:p>
    <w:p>
      <w:pPr>
        <w:tabs>
          <w:tab w:val="left" w:pos="7920"/>
        </w:tabs>
        <w:spacing w:line="500" w:lineRule="exact"/>
        <w:ind w:left="-94" w:leftChars="-45" w:right="15" w:rightChars="7" w:firstLine="576" w:firstLineChars="240"/>
        <w:rPr>
          <w:sz w:val="24"/>
        </w:rPr>
      </w:pPr>
      <w:r>
        <w:rPr>
          <w:rFonts w:hint="eastAsia"/>
          <w:sz w:val="24"/>
        </w:rPr>
        <w:t>5.3.4核验各投标人代表的合法身份（法定代表人身份证明书或授权委托书原件及本人身份证原件）和《投标承诺书》原件；</w:t>
      </w:r>
    </w:p>
    <w:p>
      <w:pPr>
        <w:tabs>
          <w:tab w:val="left" w:pos="7920"/>
        </w:tabs>
        <w:spacing w:line="500" w:lineRule="exact"/>
        <w:ind w:left="-94" w:leftChars="-45" w:right="15" w:rightChars="7" w:firstLine="576" w:firstLineChars="240"/>
        <w:rPr>
          <w:sz w:val="24"/>
        </w:rPr>
      </w:pPr>
      <w:r>
        <w:rPr>
          <w:rFonts w:hint="eastAsia"/>
          <w:sz w:val="24"/>
        </w:rPr>
        <w:t>5.3.5由投标人代表检查投标文件的密封情况；</w:t>
      </w:r>
    </w:p>
    <w:p>
      <w:pPr>
        <w:tabs>
          <w:tab w:val="left" w:pos="7920"/>
        </w:tabs>
        <w:spacing w:line="500" w:lineRule="exact"/>
        <w:ind w:left="-94" w:leftChars="-45" w:right="15" w:rightChars="7" w:firstLine="576" w:firstLineChars="240"/>
        <w:rPr>
          <w:sz w:val="24"/>
        </w:rPr>
      </w:pPr>
      <w:r>
        <w:rPr>
          <w:rFonts w:hint="eastAsia"/>
          <w:sz w:val="24"/>
        </w:rPr>
        <w:t>5.3.6按照宣布的开标顺序当众开标，公布投标人名称，投标保证金的递交情况、投标价格等其他内容，并记录在案；</w:t>
      </w:r>
    </w:p>
    <w:p>
      <w:pPr>
        <w:tabs>
          <w:tab w:val="left" w:pos="7920"/>
        </w:tabs>
        <w:spacing w:line="500" w:lineRule="exact"/>
        <w:ind w:left="-94" w:leftChars="-45" w:right="15" w:rightChars="7" w:firstLine="576" w:firstLineChars="240"/>
        <w:rPr>
          <w:sz w:val="24"/>
        </w:rPr>
      </w:pPr>
      <w:r>
        <w:rPr>
          <w:rFonts w:hint="eastAsia"/>
          <w:sz w:val="24"/>
        </w:rPr>
        <w:t>5.3.7开标时，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tabs>
          <w:tab w:val="left" w:pos="7920"/>
        </w:tabs>
        <w:spacing w:line="500" w:lineRule="exact"/>
        <w:ind w:left="-94" w:leftChars="-45" w:right="15" w:rightChars="7" w:firstLine="576" w:firstLineChars="240"/>
        <w:rPr>
          <w:sz w:val="24"/>
        </w:rPr>
      </w:pPr>
      <w:r>
        <w:rPr>
          <w:rFonts w:hint="eastAsia"/>
          <w:sz w:val="24"/>
        </w:rPr>
        <w:t>5.3.8投标人代表、招标人代表、监督人、记录人等有关人员在开标记录上签字确认； 并将开标时相关资料密封后交评标委员会；</w:t>
      </w:r>
    </w:p>
    <w:p>
      <w:pPr>
        <w:tabs>
          <w:tab w:val="left" w:pos="7920"/>
        </w:tabs>
        <w:spacing w:line="500" w:lineRule="exact"/>
        <w:ind w:left="-94" w:leftChars="-45" w:right="15" w:rightChars="7" w:firstLine="576" w:firstLineChars="240"/>
        <w:rPr>
          <w:sz w:val="24"/>
        </w:rPr>
      </w:pPr>
      <w:r>
        <w:rPr>
          <w:rFonts w:hint="eastAsia"/>
          <w:sz w:val="24"/>
        </w:rPr>
        <w:t>5.3.9开标结束。</w:t>
      </w:r>
    </w:p>
    <w:p>
      <w:pPr>
        <w:tabs>
          <w:tab w:val="left" w:pos="7920"/>
        </w:tabs>
        <w:spacing w:line="500" w:lineRule="exact"/>
        <w:ind w:right="15" w:rightChars="7"/>
        <w:rPr>
          <w:b/>
          <w:sz w:val="24"/>
        </w:rPr>
      </w:pPr>
      <w:bookmarkStart w:id="35" w:name="_Toc419379763"/>
      <w:bookmarkStart w:id="36" w:name="_Toc418174784"/>
      <w:r>
        <w:rPr>
          <w:b/>
          <w:sz w:val="24"/>
        </w:rPr>
        <w:t>5.</w:t>
      </w:r>
      <w:r>
        <w:rPr>
          <w:rFonts w:hint="eastAsia"/>
          <w:b/>
          <w:sz w:val="24"/>
        </w:rPr>
        <w:t>4</w:t>
      </w:r>
      <w:r>
        <w:rPr>
          <w:b/>
          <w:sz w:val="24"/>
        </w:rPr>
        <w:t>资格后审程序</w:t>
      </w:r>
      <w:bookmarkEnd w:id="35"/>
      <w:bookmarkEnd w:id="36"/>
    </w:p>
    <w:p>
      <w:pPr>
        <w:tabs>
          <w:tab w:val="left" w:pos="7920"/>
        </w:tabs>
        <w:spacing w:line="500" w:lineRule="exact"/>
        <w:ind w:left="-94" w:leftChars="-45" w:right="15" w:rightChars="7" w:firstLine="576" w:firstLineChars="240"/>
        <w:rPr>
          <w:sz w:val="24"/>
        </w:rPr>
      </w:pPr>
      <w:r>
        <w:rPr>
          <w:sz w:val="24"/>
        </w:rPr>
        <w:t>5.</w:t>
      </w:r>
      <w:r>
        <w:rPr>
          <w:rFonts w:hint="eastAsia"/>
          <w:sz w:val="24"/>
        </w:rPr>
        <w:t>4</w:t>
      </w:r>
      <w:r>
        <w:rPr>
          <w:sz w:val="24"/>
        </w:rPr>
        <w:t>.1 审查投标单位法定代表人或其授权委托代理人是否参加资格审查。</w:t>
      </w:r>
    </w:p>
    <w:p>
      <w:pPr>
        <w:tabs>
          <w:tab w:val="left" w:pos="7920"/>
        </w:tabs>
        <w:spacing w:line="500" w:lineRule="exact"/>
        <w:ind w:left="-94" w:leftChars="-45" w:right="15" w:rightChars="7" w:firstLine="576" w:firstLineChars="240"/>
        <w:rPr>
          <w:sz w:val="24"/>
        </w:rPr>
      </w:pPr>
      <w:r>
        <w:rPr>
          <w:sz w:val="24"/>
        </w:rPr>
        <w:t>5.</w:t>
      </w:r>
      <w:r>
        <w:rPr>
          <w:rFonts w:hint="eastAsia"/>
          <w:sz w:val="24"/>
        </w:rPr>
        <w:t>4</w:t>
      </w:r>
      <w:r>
        <w:rPr>
          <w:sz w:val="24"/>
        </w:rPr>
        <w:t>.2 由投标人的法定代表人（或其</w:t>
      </w:r>
      <w:r>
        <w:rPr>
          <w:rFonts w:hint="eastAsia"/>
          <w:sz w:val="24"/>
        </w:rPr>
        <w:t>授权</w:t>
      </w:r>
      <w:r>
        <w:rPr>
          <w:sz w:val="24"/>
        </w:rPr>
        <w:t>委托代理人）到资格后审现场提交《投标承诺书》原件。</w:t>
      </w:r>
    </w:p>
    <w:p>
      <w:pPr>
        <w:tabs>
          <w:tab w:val="left" w:pos="7920"/>
        </w:tabs>
        <w:spacing w:line="500" w:lineRule="exact"/>
        <w:ind w:left="-94" w:leftChars="-45" w:right="15" w:rightChars="7" w:firstLine="576" w:firstLineChars="240"/>
        <w:rPr>
          <w:sz w:val="24"/>
        </w:rPr>
      </w:pPr>
      <w:r>
        <w:rPr>
          <w:sz w:val="24"/>
        </w:rPr>
        <w:t>5.</w:t>
      </w:r>
      <w:r>
        <w:rPr>
          <w:rFonts w:hint="eastAsia"/>
          <w:sz w:val="24"/>
        </w:rPr>
        <w:t>4</w:t>
      </w:r>
      <w:r>
        <w:rPr>
          <w:sz w:val="24"/>
        </w:rPr>
        <w:t>.3 评标委员会按招标文件规定对投标单位资格审查资料进行审查，确定合格投标人或不合格投标人名单。</w:t>
      </w:r>
    </w:p>
    <w:p>
      <w:pPr>
        <w:pStyle w:val="3"/>
        <w:numPr>
          <w:ilvl w:val="1"/>
          <w:numId w:val="0"/>
        </w:numPr>
        <w:spacing w:line="400" w:lineRule="exact"/>
        <w:jc w:val="center"/>
        <w:rPr>
          <w:rFonts w:ascii="宋体" w:hAnsi="宋体" w:eastAsia="宋体"/>
          <w:w w:val="100"/>
          <w:kern w:val="32"/>
        </w:rPr>
      </w:pPr>
      <w:r>
        <w:rPr>
          <w:rFonts w:hint="eastAsia" w:ascii="宋体" w:hAnsi="宋体" w:eastAsia="宋体"/>
          <w:w w:val="100"/>
          <w:kern w:val="32"/>
        </w:rPr>
        <w:t>6 评标</w:t>
      </w:r>
    </w:p>
    <w:p>
      <w:pPr>
        <w:tabs>
          <w:tab w:val="left" w:pos="7920"/>
        </w:tabs>
        <w:spacing w:line="500" w:lineRule="exact"/>
        <w:ind w:right="15" w:rightChars="7"/>
        <w:rPr>
          <w:b/>
          <w:sz w:val="24"/>
        </w:rPr>
      </w:pPr>
      <w:r>
        <w:rPr>
          <w:rFonts w:hint="eastAsia"/>
          <w:b/>
          <w:sz w:val="24"/>
        </w:rPr>
        <w:t>6.1评标委员会的组成</w:t>
      </w:r>
    </w:p>
    <w:p>
      <w:pPr>
        <w:tabs>
          <w:tab w:val="left" w:pos="7920"/>
        </w:tabs>
        <w:spacing w:line="500" w:lineRule="exact"/>
        <w:ind w:right="15" w:rightChars="7" w:firstLine="480" w:firstLineChars="200"/>
        <w:rPr>
          <w:sz w:val="24"/>
        </w:rPr>
      </w:pPr>
      <w:r>
        <w:rPr>
          <w:rFonts w:hint="eastAsia"/>
          <w:sz w:val="24"/>
        </w:rPr>
        <w:t>6.1.1本项目评标委员会由招标人代表及专家5人组成，其中招标人代表1人，其余专家从政府评标专家库中随机抽取产生。</w:t>
      </w:r>
    </w:p>
    <w:p>
      <w:pPr>
        <w:tabs>
          <w:tab w:val="left" w:pos="7920"/>
        </w:tabs>
        <w:spacing w:line="500" w:lineRule="exact"/>
        <w:ind w:right="15" w:rightChars="7" w:firstLine="480" w:firstLineChars="200"/>
        <w:rPr>
          <w:sz w:val="24"/>
        </w:rPr>
      </w:pPr>
      <w:r>
        <w:rPr>
          <w:rFonts w:hint="eastAsia"/>
          <w:sz w:val="24"/>
        </w:rPr>
        <w:t>6.1.2评标委员会成员有下列情形之一的，应当回避：</w:t>
      </w:r>
    </w:p>
    <w:p>
      <w:pPr>
        <w:tabs>
          <w:tab w:val="left" w:pos="7920"/>
        </w:tabs>
        <w:spacing w:line="500" w:lineRule="exact"/>
        <w:ind w:right="15" w:rightChars="7" w:firstLine="600" w:firstLineChars="250"/>
        <w:rPr>
          <w:rFonts w:asciiTheme="minorEastAsia" w:hAnsiTheme="minorEastAsia" w:eastAsiaTheme="minorEastAsia"/>
          <w:sz w:val="24"/>
        </w:rPr>
      </w:pPr>
      <w:r>
        <w:rPr>
          <w:rFonts w:hint="eastAsia" w:asciiTheme="minorEastAsia" w:hAnsiTheme="minorEastAsia" w:eastAsiaTheme="minorEastAsia"/>
          <w:sz w:val="24"/>
        </w:rPr>
        <w:t>（一）投标人或者投标人主要负责人的近亲属；</w:t>
      </w:r>
    </w:p>
    <w:p>
      <w:pPr>
        <w:tabs>
          <w:tab w:val="left" w:pos="7920"/>
        </w:tabs>
        <w:spacing w:line="500" w:lineRule="exact"/>
        <w:ind w:right="15" w:rightChars="7" w:firstLine="600" w:firstLineChars="250"/>
        <w:rPr>
          <w:rFonts w:asciiTheme="minorEastAsia" w:hAnsiTheme="minorEastAsia" w:eastAsiaTheme="minorEastAsia"/>
          <w:sz w:val="24"/>
        </w:rPr>
      </w:pPr>
      <w:r>
        <w:rPr>
          <w:rFonts w:hint="eastAsia" w:asciiTheme="minorEastAsia" w:hAnsiTheme="minorEastAsia" w:eastAsiaTheme="minorEastAsia"/>
          <w:sz w:val="24"/>
        </w:rPr>
        <w:t>（二）项目主管部门或者行政监督部门的人员；</w:t>
      </w:r>
    </w:p>
    <w:p>
      <w:pPr>
        <w:tabs>
          <w:tab w:val="left" w:pos="7920"/>
        </w:tabs>
        <w:spacing w:line="500" w:lineRule="exact"/>
        <w:ind w:right="15" w:rightChars="7" w:firstLine="600" w:firstLineChars="250"/>
        <w:rPr>
          <w:rFonts w:asciiTheme="minorEastAsia" w:hAnsiTheme="minorEastAsia" w:eastAsiaTheme="minorEastAsia"/>
          <w:sz w:val="24"/>
        </w:rPr>
      </w:pPr>
      <w:r>
        <w:rPr>
          <w:rFonts w:hint="eastAsia" w:asciiTheme="minorEastAsia" w:hAnsiTheme="minorEastAsia" w:eastAsiaTheme="minorEastAsia"/>
          <w:sz w:val="24"/>
        </w:rPr>
        <w:t>（三）与投标人有经济利益关系，可能影响对投标公正评审的；</w:t>
      </w:r>
    </w:p>
    <w:p>
      <w:pPr>
        <w:tabs>
          <w:tab w:val="left" w:pos="7920"/>
        </w:tabs>
        <w:spacing w:line="500" w:lineRule="exact"/>
        <w:ind w:right="15" w:rightChars="7" w:firstLine="600" w:firstLineChars="250"/>
        <w:rPr>
          <w:sz w:val="24"/>
        </w:rPr>
      </w:pPr>
      <w:r>
        <w:rPr>
          <w:rFonts w:hint="eastAsia" w:asciiTheme="minorEastAsia" w:hAnsiTheme="minorEastAsia" w:eastAsiaTheme="minorEastAsia"/>
          <w:sz w:val="24"/>
        </w:rPr>
        <w:t>（四）曾因在招标、评标以及其他与招标投标有关活动中从事违法行为而受过行政处罚或刑事处罚的。</w:t>
      </w:r>
    </w:p>
    <w:p>
      <w:pPr>
        <w:tabs>
          <w:tab w:val="left" w:pos="7920"/>
        </w:tabs>
        <w:spacing w:line="500" w:lineRule="exact"/>
        <w:ind w:right="15" w:rightChars="7"/>
        <w:rPr>
          <w:b/>
          <w:sz w:val="24"/>
        </w:rPr>
      </w:pPr>
      <w:r>
        <w:rPr>
          <w:rFonts w:hint="eastAsia"/>
          <w:b/>
          <w:sz w:val="24"/>
        </w:rPr>
        <w:t>6.2评标原则</w:t>
      </w:r>
    </w:p>
    <w:p>
      <w:pPr>
        <w:tabs>
          <w:tab w:val="left" w:pos="7920"/>
        </w:tabs>
        <w:spacing w:line="500" w:lineRule="exact"/>
        <w:ind w:right="15" w:rightChars="7" w:firstLine="360" w:firstLineChars="150"/>
        <w:rPr>
          <w:sz w:val="24"/>
        </w:rPr>
      </w:pPr>
      <w:r>
        <w:rPr>
          <w:rFonts w:hint="eastAsia"/>
          <w:sz w:val="24"/>
        </w:rPr>
        <w:t>评标活动遵循公平、公正、科学和择优的原则。</w:t>
      </w:r>
    </w:p>
    <w:p>
      <w:pPr>
        <w:tabs>
          <w:tab w:val="left" w:pos="7920"/>
        </w:tabs>
        <w:spacing w:line="500" w:lineRule="exact"/>
        <w:ind w:right="15" w:rightChars="7"/>
        <w:rPr>
          <w:b/>
          <w:sz w:val="24"/>
        </w:rPr>
      </w:pPr>
      <w:r>
        <w:rPr>
          <w:rFonts w:hint="eastAsia"/>
          <w:b/>
          <w:sz w:val="24"/>
        </w:rPr>
        <w:t>6.3评标办法</w:t>
      </w:r>
    </w:p>
    <w:p>
      <w:pPr>
        <w:tabs>
          <w:tab w:val="left" w:pos="7920"/>
        </w:tabs>
        <w:spacing w:line="500" w:lineRule="exact"/>
        <w:ind w:right="15" w:rightChars="7" w:firstLine="480" w:firstLineChars="200"/>
        <w:rPr>
          <w:sz w:val="24"/>
        </w:rPr>
      </w:pPr>
      <w:r>
        <w:rPr>
          <w:rFonts w:hint="eastAsia"/>
          <w:sz w:val="24"/>
        </w:rPr>
        <w:t>6.3.1本项目评标方法采用综合评分法，是指在最大限度地满足招标文件实质性要求前提下，按照本招标文件中规定的各项因素进行综合评审后，以评标总得分最高的投标人作为中标候选人或者中标人的评标方法。</w:t>
      </w:r>
    </w:p>
    <w:p>
      <w:pPr>
        <w:tabs>
          <w:tab w:val="left" w:pos="7920"/>
        </w:tabs>
        <w:spacing w:line="500" w:lineRule="exact"/>
        <w:ind w:right="15" w:rightChars="7" w:firstLine="480" w:firstLineChars="200"/>
        <w:rPr>
          <w:sz w:val="24"/>
        </w:rPr>
      </w:pPr>
      <w:r>
        <w:rPr>
          <w:rFonts w:hint="eastAsia"/>
          <w:sz w:val="24"/>
        </w:rPr>
        <w:t>6.3.2评标标准具体详见第六章。</w:t>
      </w:r>
    </w:p>
    <w:p>
      <w:pPr>
        <w:tabs>
          <w:tab w:val="left" w:pos="7920"/>
        </w:tabs>
        <w:spacing w:line="500" w:lineRule="exact"/>
        <w:ind w:right="15" w:rightChars="7" w:firstLine="480" w:firstLineChars="200"/>
        <w:rPr>
          <w:sz w:val="24"/>
        </w:rPr>
      </w:pPr>
      <w:r>
        <w:rPr>
          <w:rFonts w:hint="eastAsia"/>
          <w:sz w:val="24"/>
        </w:rPr>
        <w:t>6.3.3</w:t>
      </w:r>
      <w:r>
        <w:rPr>
          <w:sz w:val="24"/>
        </w:rPr>
        <w:t>资格后审评审内容：按招标公告和招标文件规定的“投标人资质要求”进行审查，填写资格性检查一览表。投标人根据招标公告和招标文件要求</w:t>
      </w:r>
      <w:r>
        <w:rPr>
          <w:rFonts w:hint="eastAsia"/>
          <w:sz w:val="24"/>
        </w:rPr>
        <w:t>将有关证明和证件提供原件</w:t>
      </w:r>
      <w:r>
        <w:rPr>
          <w:sz w:val="24"/>
        </w:rPr>
        <w:t>，评标委员会首先对投标人资格进行审查，确定合格投标人。投标人资格条件有一项不符合规定的，为不合格投标人，不得进入下一轮评审，不合格投标人评标委员会需作出原因说明。</w:t>
      </w:r>
    </w:p>
    <w:bookmarkEnd w:id="2"/>
    <w:bookmarkEnd w:id="33"/>
    <w:bookmarkEnd w:id="34"/>
    <w:p>
      <w:pPr>
        <w:pStyle w:val="3"/>
        <w:numPr>
          <w:ilvl w:val="1"/>
          <w:numId w:val="0"/>
        </w:numPr>
        <w:spacing w:line="400" w:lineRule="exact"/>
        <w:jc w:val="center"/>
        <w:rPr>
          <w:rFonts w:ascii="宋体" w:hAnsi="宋体" w:eastAsia="宋体"/>
          <w:w w:val="100"/>
          <w:kern w:val="32"/>
        </w:rPr>
      </w:pPr>
      <w:bookmarkStart w:id="37" w:name="_Toc318840501"/>
      <w:bookmarkStart w:id="38" w:name="_Toc321052828"/>
      <w:bookmarkStart w:id="39" w:name="_Toc227520433"/>
      <w:r>
        <w:rPr>
          <w:rFonts w:hint="eastAsia" w:ascii="宋体" w:hAnsi="宋体" w:eastAsia="宋体"/>
          <w:w w:val="100"/>
          <w:kern w:val="32"/>
        </w:rPr>
        <w:t xml:space="preserve">7 </w:t>
      </w:r>
      <w:bookmarkEnd w:id="37"/>
      <w:bookmarkEnd w:id="38"/>
      <w:r>
        <w:rPr>
          <w:rFonts w:hint="eastAsia" w:ascii="宋体" w:hAnsi="宋体" w:eastAsia="宋体"/>
          <w:w w:val="100"/>
          <w:kern w:val="32"/>
        </w:rPr>
        <w:t>合同授予</w:t>
      </w:r>
    </w:p>
    <w:p>
      <w:pPr>
        <w:spacing w:line="400" w:lineRule="exact"/>
        <w:ind w:left="2"/>
        <w:rPr>
          <w:b/>
          <w:bCs/>
          <w:sz w:val="24"/>
        </w:rPr>
      </w:pPr>
      <w:r>
        <w:rPr>
          <w:b/>
          <w:bCs/>
          <w:sz w:val="24"/>
        </w:rPr>
        <w:t>7.1.1</w:t>
      </w:r>
      <w:r>
        <w:rPr>
          <w:rFonts w:hint="eastAsia"/>
          <w:b/>
          <w:bCs/>
          <w:sz w:val="24"/>
        </w:rPr>
        <w:t>定标及重新招标</w:t>
      </w:r>
    </w:p>
    <w:p>
      <w:pPr>
        <w:tabs>
          <w:tab w:val="left" w:pos="7920"/>
        </w:tabs>
        <w:spacing w:line="500" w:lineRule="exact"/>
        <w:ind w:right="15" w:rightChars="7" w:firstLine="480" w:firstLineChars="200"/>
        <w:rPr>
          <w:sz w:val="24"/>
        </w:rPr>
      </w:pPr>
      <w:r>
        <w:rPr>
          <w:rFonts w:hint="eastAsia"/>
          <w:sz w:val="24"/>
        </w:rPr>
        <w:t>7.1.1</w:t>
      </w:r>
      <w:r>
        <w:rPr>
          <w:sz w:val="24"/>
        </w:rPr>
        <w:t>由评标委员会提交书面评标报告并推荐</w:t>
      </w:r>
      <w:r>
        <w:rPr>
          <w:rFonts w:hint="eastAsia"/>
          <w:sz w:val="24"/>
        </w:rPr>
        <w:t>1-3</w:t>
      </w:r>
      <w:r>
        <w:rPr>
          <w:sz w:val="24"/>
        </w:rPr>
        <w:t>名中标候选人</w:t>
      </w:r>
      <w:r>
        <w:rPr>
          <w:rFonts w:hint="eastAsia"/>
          <w:sz w:val="24"/>
        </w:rPr>
        <w:t>，同时标明排列顺序。招标人应当在评标委员会推荐的中标候选人中确定中标人</w:t>
      </w:r>
      <w:r>
        <w:rPr>
          <w:sz w:val="24"/>
        </w:rPr>
        <w:t>。</w:t>
      </w:r>
    </w:p>
    <w:p>
      <w:pPr>
        <w:tabs>
          <w:tab w:val="left" w:pos="7920"/>
        </w:tabs>
        <w:spacing w:line="500" w:lineRule="exact"/>
        <w:ind w:right="15" w:rightChars="7" w:firstLine="480" w:firstLineChars="200"/>
        <w:rPr>
          <w:sz w:val="24"/>
        </w:rPr>
      </w:pPr>
      <w:r>
        <w:rPr>
          <w:sz w:val="24"/>
        </w:rPr>
        <w:t>7.1.2招标人应当自收到评标报告和推荐中标候选人名单之日起，在湖南省招标投标监管网、</w:t>
      </w:r>
      <w:r>
        <w:rPr>
          <w:rFonts w:hint="eastAsia"/>
          <w:sz w:val="24"/>
        </w:rPr>
        <w:t>长沙公共资源交易电子服务平台</w:t>
      </w:r>
      <w:r>
        <w:rPr>
          <w:sz w:val="24"/>
        </w:rPr>
        <w:t>上对推荐的中标候选人进行公示，公示期为三个工作日，投标人或其他利害关系人如有异议，应当在中标候选人公示期间提出。若无异议，招标人将确定中标候选人为该项目的最终中标人。评标和定标应当在开标后三十日内完成，不能按期完成的，招标人应当通知所有投标人延长期限。投标人拒绝延长的，有权收回投标保证金，并退出候选人资格；</w:t>
      </w:r>
    </w:p>
    <w:p>
      <w:pPr>
        <w:tabs>
          <w:tab w:val="left" w:pos="7920"/>
        </w:tabs>
        <w:spacing w:line="500" w:lineRule="exact"/>
        <w:ind w:right="15" w:rightChars="7" w:firstLine="480" w:firstLineChars="200"/>
        <w:rPr>
          <w:sz w:val="24"/>
        </w:rPr>
      </w:pPr>
      <w:r>
        <w:rPr>
          <w:rFonts w:hint="eastAsia"/>
          <w:sz w:val="24"/>
        </w:rPr>
        <w:t>7.1.3排名第一的中标候选人放弃中标、因不可抗力提出不能履行合同，或者未按招标文件的规定提交履约担保的，招标人可以按照评标委员会提出的中标候选人名单排序依次确定其他中标候选人为中标人，也可以重新招标。</w:t>
      </w:r>
    </w:p>
    <w:p>
      <w:pPr>
        <w:tabs>
          <w:tab w:val="left" w:pos="7920"/>
        </w:tabs>
        <w:spacing w:line="500" w:lineRule="exact"/>
        <w:ind w:right="15" w:rightChars="7"/>
        <w:rPr>
          <w:b/>
          <w:sz w:val="24"/>
        </w:rPr>
      </w:pPr>
      <w:r>
        <w:rPr>
          <w:rFonts w:hint="eastAsia"/>
          <w:b/>
          <w:sz w:val="24"/>
        </w:rPr>
        <w:t>7.2中标通知</w:t>
      </w:r>
    </w:p>
    <w:p>
      <w:pPr>
        <w:tabs>
          <w:tab w:val="left" w:pos="7920"/>
        </w:tabs>
        <w:spacing w:line="500" w:lineRule="exact"/>
        <w:ind w:right="15" w:rightChars="7" w:firstLine="480" w:firstLineChars="200"/>
        <w:rPr>
          <w:sz w:val="24"/>
        </w:rPr>
      </w:pPr>
      <w:r>
        <w:rPr>
          <w:rFonts w:hint="eastAsia"/>
          <w:sz w:val="24"/>
        </w:rPr>
        <w:t>在本章第</w:t>
      </w:r>
      <w:r>
        <w:rPr>
          <w:sz w:val="24"/>
        </w:rPr>
        <w:t>3</w:t>
      </w:r>
      <w:r>
        <w:rPr>
          <w:rFonts w:hint="eastAsia"/>
          <w:sz w:val="24"/>
        </w:rPr>
        <w:t>.3款规定的投标有效期内，招标人以书面形式向中标人发出中标通知书，同时将中标结果通知未中标的投标人。</w:t>
      </w:r>
    </w:p>
    <w:p>
      <w:pPr>
        <w:tabs>
          <w:tab w:val="left" w:pos="7920"/>
        </w:tabs>
        <w:spacing w:line="500" w:lineRule="exact"/>
        <w:ind w:right="15" w:rightChars="7" w:firstLine="240" w:firstLineChars="100"/>
        <w:rPr>
          <w:sz w:val="24"/>
        </w:rPr>
      </w:pPr>
      <w:r>
        <w:rPr>
          <w:rFonts w:hint="eastAsia"/>
          <w:sz w:val="24"/>
        </w:rPr>
        <w:t>“中标通知书”是合同文件的组成部分，中标人在收到中标通知书24小时内，应当以书面确认。</w:t>
      </w:r>
    </w:p>
    <w:p>
      <w:pPr>
        <w:tabs>
          <w:tab w:val="left" w:pos="7920"/>
        </w:tabs>
        <w:spacing w:line="500" w:lineRule="exact"/>
        <w:ind w:right="15" w:rightChars="7" w:firstLine="482" w:firstLineChars="200"/>
        <w:rPr>
          <w:b/>
          <w:sz w:val="24"/>
        </w:rPr>
      </w:pPr>
      <w:bookmarkStart w:id="40" w:name="_Toc235592932"/>
      <w:bookmarkStart w:id="41" w:name="_Toc193115733"/>
    </w:p>
    <w:p>
      <w:pPr>
        <w:tabs>
          <w:tab w:val="left" w:pos="7920"/>
        </w:tabs>
        <w:spacing w:line="500" w:lineRule="exact"/>
        <w:ind w:right="15" w:rightChars="7"/>
        <w:rPr>
          <w:b/>
          <w:sz w:val="24"/>
        </w:rPr>
      </w:pPr>
      <w:r>
        <w:rPr>
          <w:b/>
          <w:sz w:val="24"/>
        </w:rPr>
        <w:t>7</w:t>
      </w:r>
      <w:r>
        <w:rPr>
          <w:rFonts w:hint="eastAsia"/>
          <w:b/>
          <w:sz w:val="24"/>
        </w:rPr>
        <w:t>.3签订合同</w:t>
      </w:r>
      <w:bookmarkEnd w:id="40"/>
      <w:bookmarkEnd w:id="41"/>
    </w:p>
    <w:p>
      <w:pPr>
        <w:tabs>
          <w:tab w:val="left" w:pos="7920"/>
        </w:tabs>
        <w:spacing w:line="500" w:lineRule="exact"/>
        <w:ind w:right="15" w:rightChars="7" w:firstLine="480" w:firstLineChars="200"/>
        <w:rPr>
          <w:sz w:val="24"/>
        </w:rPr>
      </w:pPr>
      <w:r>
        <w:rPr>
          <w:sz w:val="24"/>
        </w:rPr>
        <w:t>7</w:t>
      </w:r>
      <w:r>
        <w:rPr>
          <w:rFonts w:hint="eastAsia"/>
          <w:sz w:val="24"/>
        </w:rPr>
        <w:t>.3.1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tabs>
          <w:tab w:val="left" w:pos="7920"/>
        </w:tabs>
        <w:spacing w:line="500" w:lineRule="exact"/>
        <w:ind w:right="15" w:rightChars="7" w:firstLine="480" w:firstLineChars="200"/>
        <w:rPr>
          <w:sz w:val="24"/>
        </w:rPr>
      </w:pPr>
      <w:r>
        <w:rPr>
          <w:sz w:val="24"/>
        </w:rPr>
        <w:t>7</w:t>
      </w:r>
      <w:r>
        <w:rPr>
          <w:rFonts w:hint="eastAsia"/>
          <w:sz w:val="24"/>
        </w:rPr>
        <w:t>.3.2发出中标通知书后，招标人无正当理由拒签合同的，招标人向中标人退还投标保证金；给中标人造成损失的，还应当赔偿损失。</w:t>
      </w:r>
    </w:p>
    <w:p>
      <w:pPr>
        <w:tabs>
          <w:tab w:val="left" w:pos="7920"/>
        </w:tabs>
        <w:spacing w:line="500" w:lineRule="exact"/>
        <w:ind w:right="15" w:rightChars="7" w:firstLine="480" w:firstLineChars="200"/>
        <w:rPr>
          <w:sz w:val="24"/>
        </w:rPr>
      </w:pPr>
      <w:r>
        <w:rPr>
          <w:rFonts w:hint="eastAsia"/>
          <w:sz w:val="24"/>
        </w:rPr>
        <w:t xml:space="preserve">7.3.3 中标人与招标人在签订租赁合同或合作协议阶段，本公告内涉及的租赁商务条件与物业经营条件不可变更外，中标人可根据实际情况对合同和协议中的权责部分进行协商。   </w:t>
      </w:r>
    </w:p>
    <w:p>
      <w:pPr>
        <w:pStyle w:val="3"/>
        <w:numPr>
          <w:ilvl w:val="1"/>
          <w:numId w:val="0"/>
        </w:numPr>
        <w:spacing w:line="400" w:lineRule="exact"/>
        <w:jc w:val="center"/>
        <w:rPr>
          <w:rFonts w:ascii="宋体" w:hAnsi="宋体" w:eastAsia="宋体"/>
          <w:w w:val="100"/>
          <w:kern w:val="32"/>
        </w:rPr>
      </w:pPr>
      <w:bookmarkStart w:id="42" w:name="_Toc421114366"/>
      <w:bookmarkStart w:id="43" w:name="_Toc235592933"/>
      <w:bookmarkStart w:id="44" w:name="_Toc193115734"/>
      <w:r>
        <w:rPr>
          <w:rFonts w:ascii="宋体" w:hAnsi="宋体" w:eastAsia="宋体"/>
          <w:w w:val="100"/>
          <w:kern w:val="32"/>
        </w:rPr>
        <w:t>8</w:t>
      </w:r>
      <w:r>
        <w:rPr>
          <w:rFonts w:hint="eastAsia" w:ascii="宋体" w:hAnsi="宋体" w:eastAsia="宋体"/>
          <w:w w:val="100"/>
          <w:kern w:val="32"/>
        </w:rPr>
        <w:t>重新招标和不再招标</w:t>
      </w:r>
      <w:bookmarkEnd w:id="42"/>
      <w:bookmarkEnd w:id="43"/>
      <w:bookmarkEnd w:id="44"/>
    </w:p>
    <w:p>
      <w:pPr>
        <w:tabs>
          <w:tab w:val="left" w:pos="7920"/>
        </w:tabs>
        <w:spacing w:line="500" w:lineRule="exact"/>
        <w:ind w:right="15" w:rightChars="7"/>
        <w:rPr>
          <w:b/>
          <w:sz w:val="24"/>
        </w:rPr>
      </w:pPr>
      <w:bookmarkStart w:id="45" w:name="_Toc193115735"/>
      <w:bookmarkStart w:id="46" w:name="_Toc235592934"/>
      <w:r>
        <w:rPr>
          <w:b/>
          <w:sz w:val="24"/>
        </w:rPr>
        <w:t>8</w:t>
      </w:r>
      <w:r>
        <w:rPr>
          <w:rFonts w:hint="eastAsia"/>
          <w:b/>
          <w:sz w:val="24"/>
        </w:rPr>
        <w:t>.1重新招标</w:t>
      </w:r>
      <w:bookmarkEnd w:id="45"/>
      <w:bookmarkEnd w:id="46"/>
    </w:p>
    <w:p>
      <w:pPr>
        <w:tabs>
          <w:tab w:val="left" w:pos="7920"/>
        </w:tabs>
        <w:spacing w:line="500" w:lineRule="exact"/>
        <w:ind w:right="15" w:rightChars="7" w:firstLine="480" w:firstLineChars="200"/>
        <w:rPr>
          <w:sz w:val="24"/>
        </w:rPr>
      </w:pPr>
      <w:r>
        <w:rPr>
          <w:rFonts w:hint="eastAsia"/>
          <w:sz w:val="24"/>
        </w:rPr>
        <w:t>有下列情形之一的，招标人将重新招标：</w:t>
      </w:r>
    </w:p>
    <w:p>
      <w:pPr>
        <w:tabs>
          <w:tab w:val="left" w:pos="7920"/>
        </w:tabs>
        <w:spacing w:line="500" w:lineRule="exact"/>
        <w:ind w:right="15" w:rightChars="7" w:firstLine="360" w:firstLineChars="150"/>
        <w:rPr>
          <w:sz w:val="24"/>
        </w:rPr>
      </w:pPr>
      <w:r>
        <w:rPr>
          <w:rFonts w:hint="eastAsia"/>
          <w:sz w:val="24"/>
        </w:rPr>
        <w:t>（1）投标截止时间止，投标人少于</w:t>
      </w:r>
      <w:r>
        <w:rPr>
          <w:sz w:val="24"/>
        </w:rPr>
        <w:t>3</w:t>
      </w:r>
      <w:r>
        <w:rPr>
          <w:rFonts w:hint="eastAsia"/>
          <w:sz w:val="24"/>
        </w:rPr>
        <w:t>个的；</w:t>
      </w:r>
    </w:p>
    <w:p>
      <w:pPr>
        <w:tabs>
          <w:tab w:val="left" w:pos="7920"/>
        </w:tabs>
        <w:spacing w:line="500" w:lineRule="exact"/>
        <w:ind w:right="15" w:rightChars="7" w:firstLine="360" w:firstLineChars="150"/>
        <w:rPr>
          <w:sz w:val="24"/>
        </w:rPr>
      </w:pPr>
      <w:r>
        <w:rPr>
          <w:rFonts w:hint="eastAsia"/>
          <w:sz w:val="24"/>
        </w:rPr>
        <w:t>（2）经评标委员会评审后否决所有投标的。</w:t>
      </w:r>
    </w:p>
    <w:p>
      <w:pPr>
        <w:tabs>
          <w:tab w:val="left" w:pos="7920"/>
        </w:tabs>
        <w:spacing w:line="500" w:lineRule="exact"/>
        <w:ind w:right="15" w:rightChars="7"/>
        <w:rPr>
          <w:b/>
          <w:sz w:val="24"/>
        </w:rPr>
      </w:pPr>
      <w:bookmarkStart w:id="47" w:name="_Toc235592935"/>
      <w:bookmarkStart w:id="48" w:name="_Toc193115736"/>
      <w:r>
        <w:rPr>
          <w:b/>
          <w:sz w:val="24"/>
        </w:rPr>
        <w:t>8</w:t>
      </w:r>
      <w:r>
        <w:rPr>
          <w:rFonts w:hint="eastAsia"/>
          <w:b/>
          <w:sz w:val="24"/>
        </w:rPr>
        <w:t>.2不再招标</w:t>
      </w:r>
      <w:bookmarkEnd w:id="47"/>
      <w:bookmarkEnd w:id="48"/>
    </w:p>
    <w:p>
      <w:pPr>
        <w:tabs>
          <w:tab w:val="left" w:pos="7920"/>
        </w:tabs>
        <w:spacing w:line="500" w:lineRule="exact"/>
        <w:ind w:right="15" w:rightChars="7" w:firstLine="480" w:firstLineChars="200"/>
        <w:rPr>
          <w:sz w:val="24"/>
        </w:rPr>
      </w:pPr>
      <w:r>
        <w:rPr>
          <w:rFonts w:hint="eastAsia"/>
          <w:sz w:val="24"/>
        </w:rPr>
        <w:t>重新招标后投标人仍少于</w:t>
      </w:r>
      <w:r>
        <w:rPr>
          <w:sz w:val="24"/>
        </w:rPr>
        <w:t>3</w:t>
      </w:r>
      <w:r>
        <w:rPr>
          <w:rFonts w:hint="eastAsia"/>
          <w:sz w:val="24"/>
        </w:rPr>
        <w:t>个或者所有投标被否决的，属于必须审批或核准的项目，经原审批或核准部门批准后不再进行招标。</w:t>
      </w:r>
    </w:p>
    <w:p>
      <w:pPr>
        <w:pStyle w:val="3"/>
        <w:numPr>
          <w:ilvl w:val="1"/>
          <w:numId w:val="0"/>
        </w:numPr>
        <w:spacing w:line="400" w:lineRule="exact"/>
        <w:jc w:val="center"/>
        <w:rPr>
          <w:rFonts w:ascii="宋体" w:hAnsi="宋体" w:eastAsia="宋体"/>
          <w:w w:val="100"/>
          <w:kern w:val="32"/>
        </w:rPr>
      </w:pPr>
      <w:bookmarkStart w:id="49" w:name="_Toc421114367"/>
      <w:bookmarkStart w:id="50" w:name="_Toc193115737"/>
      <w:bookmarkStart w:id="51" w:name="_Toc235592936"/>
      <w:r>
        <w:rPr>
          <w:rFonts w:ascii="宋体" w:hAnsi="宋体" w:eastAsia="宋体"/>
          <w:w w:val="100"/>
          <w:kern w:val="32"/>
        </w:rPr>
        <w:t>9</w:t>
      </w:r>
      <w:r>
        <w:rPr>
          <w:rFonts w:hint="eastAsia" w:ascii="宋体" w:hAnsi="宋体" w:eastAsia="宋体"/>
          <w:w w:val="100"/>
          <w:kern w:val="32"/>
        </w:rPr>
        <w:t>纪律</w:t>
      </w:r>
      <w:bookmarkStart w:id="52" w:name="_Hlt226599220"/>
      <w:bookmarkEnd w:id="52"/>
      <w:r>
        <w:rPr>
          <w:rFonts w:hint="eastAsia" w:ascii="宋体" w:hAnsi="宋体" w:eastAsia="宋体"/>
          <w:w w:val="100"/>
          <w:kern w:val="32"/>
        </w:rPr>
        <w:t>和监督</w:t>
      </w:r>
      <w:bookmarkEnd w:id="49"/>
      <w:bookmarkEnd w:id="50"/>
      <w:bookmarkEnd w:id="51"/>
    </w:p>
    <w:p>
      <w:pPr>
        <w:tabs>
          <w:tab w:val="left" w:pos="7920"/>
        </w:tabs>
        <w:spacing w:line="500" w:lineRule="exact"/>
        <w:ind w:right="15" w:rightChars="7"/>
        <w:rPr>
          <w:b/>
          <w:sz w:val="24"/>
        </w:rPr>
      </w:pPr>
      <w:bookmarkStart w:id="53" w:name="_Toc235592937"/>
      <w:bookmarkStart w:id="54" w:name="_Toc193115738"/>
      <w:r>
        <w:rPr>
          <w:b/>
          <w:sz w:val="24"/>
        </w:rPr>
        <w:t>9</w:t>
      </w:r>
      <w:r>
        <w:rPr>
          <w:rFonts w:hint="eastAsia"/>
          <w:b/>
          <w:sz w:val="24"/>
        </w:rPr>
        <w:t>.1对招标人的纪律要求</w:t>
      </w:r>
      <w:bookmarkEnd w:id="53"/>
      <w:bookmarkEnd w:id="54"/>
    </w:p>
    <w:p>
      <w:pPr>
        <w:tabs>
          <w:tab w:val="left" w:pos="7920"/>
        </w:tabs>
        <w:spacing w:line="500" w:lineRule="exact"/>
        <w:ind w:right="15" w:rightChars="7" w:firstLine="480" w:firstLineChars="200"/>
        <w:rPr>
          <w:sz w:val="24"/>
        </w:rPr>
      </w:pPr>
      <w:r>
        <w:rPr>
          <w:rFonts w:hint="eastAsia"/>
          <w:sz w:val="24"/>
        </w:rPr>
        <w:t>招标人不得泄漏招标投标活动中应当保密的情况和资料，不得与投标人串通损害国家利益、社会公共利益或者他人合法权益。</w:t>
      </w:r>
    </w:p>
    <w:p>
      <w:pPr>
        <w:tabs>
          <w:tab w:val="left" w:pos="7920"/>
        </w:tabs>
        <w:spacing w:line="500" w:lineRule="exact"/>
        <w:ind w:right="15" w:rightChars="7"/>
        <w:rPr>
          <w:b/>
          <w:sz w:val="24"/>
        </w:rPr>
      </w:pPr>
      <w:bookmarkStart w:id="55" w:name="_Toc235592938"/>
      <w:bookmarkStart w:id="56" w:name="_Toc193115739"/>
      <w:r>
        <w:rPr>
          <w:b/>
          <w:sz w:val="24"/>
        </w:rPr>
        <w:t>9</w:t>
      </w:r>
      <w:r>
        <w:rPr>
          <w:rFonts w:hint="eastAsia"/>
          <w:b/>
          <w:sz w:val="24"/>
        </w:rPr>
        <w:t>.2对投标人的纪律要求</w:t>
      </w:r>
      <w:bookmarkEnd w:id="55"/>
      <w:bookmarkEnd w:id="56"/>
    </w:p>
    <w:p>
      <w:pPr>
        <w:tabs>
          <w:tab w:val="left" w:pos="7920"/>
        </w:tabs>
        <w:spacing w:line="500" w:lineRule="exact"/>
        <w:ind w:right="15" w:rightChars="7" w:firstLine="480" w:firstLineChars="200"/>
        <w:rPr>
          <w:sz w:val="24"/>
        </w:rPr>
      </w:pPr>
      <w:r>
        <w:rPr>
          <w:rFonts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tabs>
          <w:tab w:val="left" w:pos="7920"/>
        </w:tabs>
        <w:spacing w:line="500" w:lineRule="exact"/>
        <w:ind w:right="15" w:rightChars="7"/>
        <w:rPr>
          <w:b/>
          <w:sz w:val="24"/>
        </w:rPr>
      </w:pPr>
      <w:bookmarkStart w:id="57" w:name="_Toc235592939"/>
      <w:bookmarkStart w:id="58" w:name="_Toc193115740"/>
      <w:r>
        <w:rPr>
          <w:rFonts w:hint="eastAsia"/>
          <w:b/>
          <w:sz w:val="24"/>
        </w:rPr>
        <w:t>9.3对评标委员会成员的纪律要求</w:t>
      </w:r>
      <w:bookmarkEnd w:id="57"/>
      <w:bookmarkEnd w:id="58"/>
    </w:p>
    <w:p>
      <w:pPr>
        <w:tabs>
          <w:tab w:val="left" w:pos="7920"/>
        </w:tabs>
        <w:spacing w:line="500" w:lineRule="exact"/>
        <w:ind w:right="15" w:rightChars="7" w:firstLine="480" w:firstLineChars="200"/>
        <w:rPr>
          <w:sz w:val="24"/>
        </w:rPr>
      </w:pPr>
      <w:r>
        <w:rPr>
          <w:rFonts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六章“评标办法”没有规定的评审因素和标准进行评标。</w:t>
      </w:r>
    </w:p>
    <w:p>
      <w:pPr>
        <w:tabs>
          <w:tab w:val="left" w:pos="7920"/>
        </w:tabs>
        <w:spacing w:line="500" w:lineRule="exact"/>
        <w:ind w:right="15" w:rightChars="7"/>
        <w:rPr>
          <w:b/>
          <w:sz w:val="24"/>
        </w:rPr>
      </w:pPr>
      <w:bookmarkStart w:id="59" w:name="_Toc193115741"/>
      <w:bookmarkStart w:id="60" w:name="_Toc235592940"/>
      <w:r>
        <w:rPr>
          <w:b/>
          <w:sz w:val="24"/>
        </w:rPr>
        <w:t>9</w:t>
      </w:r>
      <w:r>
        <w:rPr>
          <w:rFonts w:hint="eastAsia"/>
          <w:b/>
          <w:sz w:val="24"/>
        </w:rPr>
        <w:t>.4对与评标活动有关的工作人员的纪律要求</w:t>
      </w:r>
      <w:bookmarkEnd w:id="59"/>
      <w:bookmarkEnd w:id="60"/>
    </w:p>
    <w:p>
      <w:pPr>
        <w:tabs>
          <w:tab w:val="left" w:pos="7920"/>
        </w:tabs>
        <w:spacing w:line="500" w:lineRule="exact"/>
        <w:ind w:right="15" w:rightChars="7" w:firstLine="480" w:firstLineChars="200"/>
        <w:rPr>
          <w:sz w:val="24"/>
        </w:rPr>
      </w:pPr>
      <w:r>
        <w:rPr>
          <w:rFonts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tabs>
          <w:tab w:val="left" w:pos="7920"/>
        </w:tabs>
        <w:spacing w:line="500" w:lineRule="exact"/>
        <w:ind w:right="15" w:rightChars="7"/>
        <w:rPr>
          <w:b/>
          <w:sz w:val="24"/>
        </w:rPr>
      </w:pPr>
      <w:bookmarkStart w:id="61" w:name="_Toc235592941"/>
      <w:bookmarkStart w:id="62" w:name="_Toc193115742"/>
      <w:r>
        <w:rPr>
          <w:b/>
          <w:sz w:val="24"/>
        </w:rPr>
        <w:t>9</w:t>
      </w:r>
      <w:r>
        <w:rPr>
          <w:rFonts w:hint="eastAsia"/>
          <w:b/>
          <w:sz w:val="24"/>
        </w:rPr>
        <w:t>.5投诉</w:t>
      </w:r>
      <w:bookmarkEnd w:id="61"/>
      <w:bookmarkEnd w:id="62"/>
      <w:bookmarkStart w:id="63" w:name="_Hlt226599222"/>
      <w:bookmarkEnd w:id="63"/>
    </w:p>
    <w:p>
      <w:pPr>
        <w:tabs>
          <w:tab w:val="left" w:pos="7920"/>
        </w:tabs>
        <w:spacing w:line="500" w:lineRule="exact"/>
        <w:ind w:right="15" w:rightChars="7" w:firstLine="480" w:firstLineChars="200"/>
        <w:rPr>
          <w:sz w:val="24"/>
        </w:rPr>
      </w:pPr>
      <w:r>
        <w:rPr>
          <w:rFonts w:hint="eastAsia"/>
          <w:sz w:val="24"/>
        </w:rPr>
        <w:t>投标人和其他利害关系人认为本次招标活动违反法律、法规和规章规定的，有权向有关行政监督部门投诉。</w:t>
      </w:r>
    </w:p>
    <w:p>
      <w:pPr>
        <w:pStyle w:val="3"/>
        <w:numPr>
          <w:ilvl w:val="1"/>
          <w:numId w:val="0"/>
        </w:numPr>
        <w:spacing w:line="400" w:lineRule="exact"/>
        <w:jc w:val="center"/>
        <w:rPr>
          <w:rFonts w:ascii="宋体" w:hAnsi="宋体" w:eastAsia="宋体"/>
          <w:w w:val="100"/>
          <w:kern w:val="32"/>
        </w:rPr>
      </w:pPr>
      <w:bookmarkStart w:id="64" w:name="_Toc193115743"/>
      <w:bookmarkStart w:id="65" w:name="_Toc235592942"/>
      <w:bookmarkStart w:id="66" w:name="_Toc421114368"/>
      <w:r>
        <w:rPr>
          <w:rFonts w:ascii="宋体" w:hAnsi="宋体" w:eastAsia="宋体"/>
          <w:w w:val="100"/>
          <w:kern w:val="32"/>
        </w:rPr>
        <w:t>10</w:t>
      </w:r>
      <w:r>
        <w:rPr>
          <w:rFonts w:hint="eastAsia" w:ascii="宋体" w:hAnsi="宋体" w:eastAsia="宋体"/>
          <w:w w:val="100"/>
          <w:kern w:val="32"/>
        </w:rPr>
        <w:t>需要补充的其他内容</w:t>
      </w:r>
      <w:bookmarkEnd w:id="64"/>
      <w:bookmarkEnd w:id="65"/>
      <w:bookmarkEnd w:id="66"/>
    </w:p>
    <w:p>
      <w:pPr>
        <w:spacing w:line="400" w:lineRule="exact"/>
        <w:ind w:left="718" w:leftChars="1" w:hanging="716" w:hangingChars="297"/>
        <w:rPr>
          <w:b/>
          <w:bCs/>
          <w:sz w:val="24"/>
        </w:rPr>
      </w:pPr>
    </w:p>
    <w:p>
      <w:pPr>
        <w:tabs>
          <w:tab w:val="left" w:pos="7920"/>
        </w:tabs>
        <w:spacing w:line="500" w:lineRule="exact"/>
        <w:ind w:right="15" w:rightChars="7" w:firstLine="482" w:firstLineChars="200"/>
        <w:rPr>
          <w:b/>
          <w:sz w:val="24"/>
        </w:rPr>
      </w:pPr>
      <w:r>
        <w:rPr>
          <w:rFonts w:hint="eastAsia"/>
          <w:b/>
          <w:sz w:val="24"/>
        </w:rPr>
        <w:t>10.1招标代理服务费</w:t>
      </w:r>
    </w:p>
    <w:p>
      <w:pPr>
        <w:tabs>
          <w:tab w:val="left" w:pos="7920"/>
        </w:tabs>
        <w:spacing w:line="500" w:lineRule="exact"/>
        <w:ind w:right="15" w:rightChars="7" w:firstLine="480" w:firstLineChars="200"/>
        <w:rPr>
          <w:bCs/>
          <w:sz w:val="24"/>
        </w:rPr>
      </w:pPr>
      <w:r>
        <w:rPr>
          <w:rFonts w:hint="eastAsia"/>
          <w:bCs/>
          <w:sz w:val="24"/>
        </w:rPr>
        <w:t>10.1.1本项目招标代理服务费由中标人向招标代理机构支付。</w:t>
      </w:r>
    </w:p>
    <w:p>
      <w:pPr>
        <w:tabs>
          <w:tab w:val="left" w:pos="7920"/>
        </w:tabs>
        <w:spacing w:line="500" w:lineRule="exact"/>
        <w:ind w:right="15" w:rightChars="7" w:firstLine="480" w:firstLineChars="200"/>
        <w:rPr>
          <w:sz w:val="24"/>
        </w:rPr>
      </w:pPr>
      <w:r>
        <w:rPr>
          <w:rFonts w:hint="eastAsia"/>
          <w:sz w:val="24"/>
        </w:rPr>
        <w:t>10.2 中标人须按规定向长沙公共资源交易中心交纳交易服务费</w:t>
      </w:r>
    </w:p>
    <w:p>
      <w:pPr>
        <w:tabs>
          <w:tab w:val="left" w:pos="7920"/>
        </w:tabs>
        <w:spacing w:line="500" w:lineRule="exact"/>
        <w:ind w:right="15" w:rightChars="7" w:firstLine="482" w:firstLineChars="200"/>
        <w:rPr>
          <w:b/>
          <w:sz w:val="24"/>
        </w:rPr>
      </w:pPr>
      <w:r>
        <w:rPr>
          <w:rFonts w:hint="eastAsia"/>
          <w:b/>
          <w:sz w:val="24"/>
        </w:rPr>
        <w:t>10.3 投标人在投标文件中有隐瞒事实、弄虚作假的行为，或有不按招标文件的要求如实提供有关情况、文件、证明等资料的行为，或有所提供的有关情况、文件、证明等资料与经查实的事实不符的行为，且上述行为对该投标人有利的，按照不合格投标人处理。已被列为中标候选人的，取消其中标候选人资格。已中标的，依据有关法律法规规章的规定处理。</w:t>
      </w:r>
    </w:p>
    <w:p>
      <w:pPr>
        <w:spacing w:line="400" w:lineRule="exact"/>
        <w:ind w:left="713" w:leftChars="229" w:hanging="232" w:hangingChars="97"/>
        <w:rPr>
          <w:sz w:val="24"/>
          <w:szCs w:val="20"/>
        </w:rPr>
      </w:pPr>
    </w:p>
    <w:p>
      <w:bookmarkStart w:id="67" w:name="_Toc321052830"/>
      <w:r>
        <w:br w:type="page"/>
      </w:r>
    </w:p>
    <w:p>
      <w:pPr>
        <w:pStyle w:val="2"/>
        <w:numPr>
          <w:ilvl w:val="0"/>
          <w:numId w:val="1"/>
        </w:numPr>
        <w:spacing w:line="360" w:lineRule="auto"/>
      </w:pPr>
      <w:r>
        <w:rPr>
          <w:rFonts w:hint="eastAsia"/>
        </w:rPr>
        <w:t xml:space="preserve"> 项目相关情况说明及要求</w:t>
      </w:r>
      <w:bookmarkEnd w:id="67"/>
    </w:p>
    <w:p>
      <w:pPr>
        <w:spacing w:line="360" w:lineRule="auto"/>
        <w:ind w:firstLine="651" w:firstLineChars="270"/>
        <w:rPr>
          <w:b/>
          <w:sz w:val="24"/>
        </w:rPr>
      </w:pPr>
      <w:r>
        <w:rPr>
          <w:rFonts w:hint="eastAsia"/>
          <w:b/>
          <w:sz w:val="24"/>
        </w:rPr>
        <w:t>一、项目名称：</w:t>
      </w:r>
    </w:p>
    <w:p>
      <w:pPr>
        <w:spacing w:line="360" w:lineRule="auto"/>
        <w:ind w:firstLine="648" w:firstLineChars="270"/>
        <w:rPr>
          <w:sz w:val="24"/>
        </w:rPr>
      </w:pPr>
      <w:r>
        <w:rPr>
          <w:rFonts w:hint="eastAsia"/>
          <w:sz w:val="24"/>
        </w:rPr>
        <w:t>西中心T3裙楼购物中心1层至5层经营权项目</w:t>
      </w:r>
    </w:p>
    <w:p>
      <w:pPr>
        <w:spacing w:line="360" w:lineRule="auto"/>
        <w:ind w:firstLine="651" w:firstLineChars="270"/>
        <w:rPr>
          <w:b/>
          <w:sz w:val="24"/>
        </w:rPr>
      </w:pPr>
      <w:r>
        <w:rPr>
          <w:rFonts w:hint="eastAsia"/>
          <w:b/>
          <w:sz w:val="24"/>
        </w:rPr>
        <w:t>二、建筑面积：</w:t>
      </w:r>
    </w:p>
    <w:p>
      <w:pPr>
        <w:spacing w:line="360" w:lineRule="auto"/>
        <w:ind w:firstLine="648" w:firstLineChars="270"/>
        <w:rPr>
          <w:sz w:val="24"/>
        </w:rPr>
      </w:pPr>
      <w:r>
        <w:rPr>
          <w:rFonts w:hint="eastAsia"/>
          <w:sz w:val="24"/>
        </w:rPr>
        <w:t>21290.47平米（本铺面具体位置及范围以《附件：租赁铺面平面图》中红色框内部分区域为准，最终合同签约面积以房地局测绘报告为准）。</w:t>
      </w:r>
    </w:p>
    <w:p>
      <w:pPr>
        <w:spacing w:line="360" w:lineRule="auto"/>
        <w:ind w:firstLine="651" w:firstLineChars="270"/>
        <w:rPr>
          <w:b/>
          <w:sz w:val="24"/>
        </w:rPr>
      </w:pPr>
      <w:r>
        <w:rPr>
          <w:rFonts w:hint="eastAsia"/>
          <w:b/>
          <w:sz w:val="24"/>
        </w:rPr>
        <w:t>一、租赁商务条件：</w:t>
      </w:r>
    </w:p>
    <w:p>
      <w:pPr>
        <w:spacing w:line="360" w:lineRule="auto"/>
        <w:ind w:firstLine="648" w:firstLineChars="270"/>
        <w:rPr>
          <w:sz w:val="24"/>
        </w:rPr>
      </w:pPr>
      <w:r>
        <w:rPr>
          <w:rFonts w:hint="eastAsia"/>
          <w:sz w:val="24"/>
        </w:rPr>
        <w:t>给予中标人一年期的项目装修筹备及开业培育期共计12个月（免租期需支付8元/㎡/月的空调能耗费），按照租金起始底价43元/㎡/月租赁（包含场地租金、基础物业费、空调能耗费、物业四周外墙及红线内室外区域的广告活动权益费），履约保证金为1个月租金，首期押一付六，后期按季度支付租金；前三年不递增，第四年递增 5 %，第四年（含）开始每两年递增5 %。物业为现状交付，物业管理由中标人自行负责。其他经营政策支持：</w:t>
      </w:r>
    </w:p>
    <w:p>
      <w:pPr>
        <w:spacing w:line="360" w:lineRule="auto"/>
        <w:ind w:firstLine="651" w:firstLineChars="270"/>
        <w:rPr>
          <w:b/>
          <w:sz w:val="24"/>
        </w:rPr>
      </w:pPr>
      <w:r>
        <w:rPr>
          <w:rFonts w:hint="eastAsia"/>
          <w:b/>
          <w:sz w:val="24"/>
        </w:rPr>
        <w:t>三、经营性政策：</w:t>
      </w:r>
    </w:p>
    <w:p>
      <w:pPr>
        <w:spacing w:line="360" w:lineRule="auto"/>
        <w:ind w:firstLine="648" w:firstLineChars="270"/>
        <w:rPr>
          <w:sz w:val="24"/>
        </w:rPr>
      </w:pPr>
      <w:r>
        <w:rPr>
          <w:rFonts w:hint="eastAsia"/>
          <w:sz w:val="24"/>
        </w:rPr>
        <w:t>1、品牌连锁店招商：中标人在引入品牌店后，按照签约面积，给予中标人该面积区域免租优惠政策。具体支持政策如下：中标人引入的全国性著名连锁品牌（全国20家以上）或长沙著名本土10家连锁店以上的品牌，且租赁合同面积在200㎡以上的，我司在12个月免租期外额外给予该区域2个月免租。中标人引入的全国性著名连锁品牌（全国10家以上）或长沙著名本土有5家连锁店以上的品牌，且租赁面积在200㎡以上的，我司在12个月免租期外额外给予该区域1个月免租。）免租期内中标人仍需承担8元/㎡/月的空调能耗费，该项免租政策需中标人引入的品牌商户开业后，凭双方租赁合同向招标人申请后按公司流程执行。（符合该免租政策条件的品牌，在双方签订合同后以招标人提供的《西中心T3裙楼品牌政策支持清单》为准，享受品牌引入额外免租区域的累计面积不超过总租赁面积的50%）</w:t>
      </w:r>
    </w:p>
    <w:p>
      <w:pPr>
        <w:spacing w:line="360" w:lineRule="auto"/>
        <w:ind w:firstLine="648" w:firstLineChars="270"/>
        <w:rPr>
          <w:sz w:val="24"/>
        </w:rPr>
      </w:pPr>
      <w:r>
        <w:rPr>
          <w:rFonts w:hint="eastAsia"/>
          <w:sz w:val="24"/>
        </w:rPr>
        <w:t>2、停车费优惠支持：租赁期前2年凭中标人商场停车小票免费停车4小时，超出部分由顾客自行承担。第三年起凭中标人商场停车小票免费停车3小时，超出部分由顾客自行承担</w:t>
      </w:r>
    </w:p>
    <w:p>
      <w:pPr>
        <w:spacing w:line="360" w:lineRule="auto"/>
        <w:ind w:firstLine="648" w:firstLineChars="270"/>
        <w:rPr>
          <w:sz w:val="24"/>
        </w:rPr>
      </w:pPr>
      <w:r>
        <w:rPr>
          <w:rFonts w:hint="eastAsia"/>
          <w:sz w:val="24"/>
        </w:rPr>
        <w:t>3、外墙使用约定：物业四周墙面广告使用权，包括T3裙楼的电子屏、广告喷绘等由中标人制定方案报招标人审批后，自行使用并承担政府报批手续及日常运维费用；</w:t>
      </w:r>
    </w:p>
    <w:p>
      <w:pPr>
        <w:spacing w:line="360" w:lineRule="auto"/>
        <w:ind w:firstLine="648" w:firstLineChars="270"/>
        <w:rPr>
          <w:sz w:val="24"/>
        </w:rPr>
      </w:pPr>
      <w:r>
        <w:rPr>
          <w:rFonts w:hint="eastAsia"/>
          <w:sz w:val="24"/>
        </w:rPr>
        <w:t>4、外场使用约定：我司红线范围内的外场区域如需使用，由中标人负责投资改造维护，方案需到我司审批并符合消防规定及取得城管审批同意。若是与其他业主共用外场区域，中标人需取得其他共用业主的书面同意。</w:t>
      </w:r>
    </w:p>
    <w:p>
      <w:pPr>
        <w:spacing w:line="360" w:lineRule="auto"/>
        <w:ind w:firstLine="482" w:firstLineChars="200"/>
        <w:rPr>
          <w:b/>
          <w:sz w:val="24"/>
        </w:rPr>
      </w:pPr>
      <w:r>
        <w:rPr>
          <w:rFonts w:hint="eastAsia"/>
          <w:b/>
          <w:sz w:val="24"/>
        </w:rPr>
        <w:t>四、特别约定条件：</w:t>
      </w:r>
    </w:p>
    <w:p>
      <w:pPr>
        <w:spacing w:line="360" w:lineRule="auto"/>
        <w:ind w:firstLine="480" w:firstLineChars="200"/>
        <w:rPr>
          <w:bCs/>
          <w:sz w:val="24"/>
        </w:rPr>
      </w:pPr>
      <w:r>
        <w:rPr>
          <w:bCs/>
          <w:sz w:val="24"/>
        </w:rPr>
        <w:t>1</w:t>
      </w:r>
      <w:r>
        <w:rPr>
          <w:rFonts w:hint="eastAsia"/>
          <w:bCs/>
          <w:sz w:val="24"/>
        </w:rPr>
        <w:t>、投标人在其中标后的</w:t>
      </w:r>
      <w:r>
        <w:rPr>
          <w:bCs/>
          <w:sz w:val="24"/>
        </w:rPr>
        <w:t>30</w:t>
      </w:r>
      <w:r>
        <w:rPr>
          <w:rFonts w:hint="eastAsia"/>
          <w:bCs/>
          <w:sz w:val="24"/>
        </w:rPr>
        <w:t>日内出资设立专门的项目运营公司（项目运营公司经营业务仅限于本物业相关的招商运营，且注册资本不低于</w:t>
      </w:r>
      <w:r>
        <w:rPr>
          <w:bCs/>
          <w:sz w:val="24"/>
        </w:rPr>
        <w:t>2000</w:t>
      </w:r>
      <w:r>
        <w:rPr>
          <w:rFonts w:hint="eastAsia"/>
          <w:bCs/>
          <w:sz w:val="24"/>
        </w:rPr>
        <w:t>万，中标人持股不低于</w:t>
      </w:r>
      <w:r>
        <w:rPr>
          <w:bCs/>
          <w:sz w:val="24"/>
        </w:rPr>
        <w:t>70%</w:t>
      </w:r>
      <w:r>
        <w:rPr>
          <w:rFonts w:hint="eastAsia"/>
          <w:bCs/>
          <w:sz w:val="24"/>
        </w:rPr>
        <w:t>）。</w:t>
      </w:r>
    </w:p>
    <w:p>
      <w:pPr>
        <w:spacing w:line="360" w:lineRule="auto"/>
        <w:ind w:firstLine="480" w:firstLineChars="200"/>
        <w:rPr>
          <w:bCs/>
          <w:sz w:val="24"/>
        </w:rPr>
      </w:pPr>
      <w:r>
        <w:rPr>
          <w:bCs/>
          <w:sz w:val="24"/>
        </w:rPr>
        <w:t>2</w:t>
      </w:r>
      <w:r>
        <w:rPr>
          <w:rFonts w:hint="eastAsia"/>
          <w:bCs/>
          <w:sz w:val="24"/>
        </w:rPr>
        <w:t>、投标人同意通过股权转让或者其他方式确保物业的原租赁户湖南百合百乐商业管理有限公司（简称：百合百乐公司）或百合百乐公司委托持股的主体，至少持有该项目运营公司</w:t>
      </w:r>
      <w:r>
        <w:rPr>
          <w:bCs/>
          <w:sz w:val="24"/>
        </w:rPr>
        <w:t>30%</w:t>
      </w:r>
      <w:r>
        <w:rPr>
          <w:rFonts w:hint="eastAsia"/>
          <w:bCs/>
          <w:sz w:val="24"/>
        </w:rPr>
        <w:t>的股权。</w:t>
      </w:r>
    </w:p>
    <w:p>
      <w:pPr>
        <w:spacing w:line="360" w:lineRule="auto"/>
        <w:ind w:firstLine="480" w:firstLineChars="200"/>
        <w:rPr>
          <w:bCs/>
          <w:sz w:val="24"/>
        </w:rPr>
      </w:pPr>
      <w:r>
        <w:rPr>
          <w:bCs/>
          <w:sz w:val="24"/>
        </w:rPr>
        <w:t>3</w:t>
      </w:r>
      <w:r>
        <w:rPr>
          <w:rFonts w:hint="eastAsia"/>
          <w:bCs/>
          <w:sz w:val="24"/>
        </w:rPr>
        <w:t>、投标人同意在其中标后的</w:t>
      </w:r>
      <w:r>
        <w:rPr>
          <w:bCs/>
          <w:sz w:val="24"/>
        </w:rPr>
        <w:t>30</w:t>
      </w:r>
      <w:r>
        <w:rPr>
          <w:rFonts w:hint="eastAsia"/>
          <w:bCs/>
          <w:sz w:val="24"/>
        </w:rPr>
        <w:t>日内将其在与招标人就物业签订的租赁协议中的全部权利义务转让给项目运营公司并签署相应的权利义务转移协议，由项目运营公司与招标人继续履行租赁协议。</w:t>
      </w:r>
    </w:p>
    <w:p>
      <w:pPr>
        <w:spacing w:line="360" w:lineRule="auto"/>
        <w:ind w:firstLine="480" w:firstLineChars="200"/>
        <w:rPr>
          <w:bCs/>
          <w:sz w:val="24"/>
        </w:rPr>
      </w:pPr>
      <w:r>
        <w:rPr>
          <w:bCs/>
          <w:sz w:val="24"/>
        </w:rPr>
        <w:t>4</w:t>
      </w:r>
      <w:r>
        <w:rPr>
          <w:rFonts w:hint="eastAsia"/>
          <w:bCs/>
          <w:sz w:val="24"/>
        </w:rPr>
        <w:t>、投标人同意百合百乐公司（或其委托持股的主体）以其持有的项目运营公司不少于</w:t>
      </w:r>
      <w:r>
        <w:rPr>
          <w:bCs/>
          <w:sz w:val="24"/>
        </w:rPr>
        <w:t>30%</w:t>
      </w:r>
      <w:r>
        <w:rPr>
          <w:rFonts w:hint="eastAsia"/>
          <w:bCs/>
          <w:sz w:val="24"/>
        </w:rPr>
        <w:t>股权（简称：质押股权）为百合百乐公司向长沙综合交通枢纽建设投资有限公司（简称：交通枢纽公司）偿还</w:t>
      </w:r>
      <w:r>
        <w:rPr>
          <w:bCs/>
          <w:sz w:val="24"/>
        </w:rPr>
        <w:t>2019</w:t>
      </w:r>
      <w:r>
        <w:rPr>
          <w:rFonts w:hint="eastAsia"/>
          <w:bCs/>
          <w:sz w:val="24"/>
        </w:rPr>
        <w:t>湘</w:t>
      </w:r>
      <w:r>
        <w:rPr>
          <w:bCs/>
          <w:sz w:val="24"/>
        </w:rPr>
        <w:t>01</w:t>
      </w:r>
      <w:r>
        <w:rPr>
          <w:rFonts w:hint="eastAsia"/>
          <w:bCs/>
          <w:sz w:val="24"/>
        </w:rPr>
        <w:t>民初</w:t>
      </w:r>
      <w:r>
        <w:rPr>
          <w:bCs/>
          <w:sz w:val="24"/>
        </w:rPr>
        <w:t>3253</w:t>
      </w:r>
      <w:r>
        <w:rPr>
          <w:rFonts w:hint="eastAsia"/>
          <w:bCs/>
          <w:sz w:val="24"/>
        </w:rPr>
        <w:t>号案（</w:t>
      </w:r>
      <w:r>
        <w:rPr>
          <w:bCs/>
          <w:sz w:val="24"/>
        </w:rPr>
        <w:t>2019</w:t>
      </w:r>
      <w:r>
        <w:rPr>
          <w:rFonts w:hint="eastAsia"/>
          <w:bCs/>
          <w:sz w:val="24"/>
        </w:rPr>
        <w:t>年</w:t>
      </w:r>
      <w:r>
        <w:rPr>
          <w:bCs/>
          <w:sz w:val="24"/>
        </w:rPr>
        <w:t>8</w:t>
      </w:r>
      <w:r>
        <w:rPr>
          <w:rFonts w:hint="eastAsia"/>
          <w:bCs/>
          <w:sz w:val="24"/>
        </w:rPr>
        <w:t>月，交通枢纽公司作为原告诉百合百乐公司租赁合同纠纷案）生效判决或调解书确定的债务金额（简称：历史债务）向交通枢纽公司提供股权质押担保，百合百乐公司的还款计划具体如下：在租赁合同期内（租期为十六年）的第一年和第二年，每年至少偿还</w:t>
      </w:r>
      <w:r>
        <w:rPr>
          <w:bCs/>
          <w:sz w:val="24"/>
        </w:rPr>
        <w:t>150</w:t>
      </w:r>
      <w:r>
        <w:rPr>
          <w:rFonts w:hint="eastAsia"/>
          <w:bCs/>
          <w:sz w:val="24"/>
        </w:rPr>
        <w:t>万元，从第三年至第十六年，每年至少偿还</w:t>
      </w:r>
      <w:r>
        <w:rPr>
          <w:bCs/>
          <w:sz w:val="24"/>
        </w:rPr>
        <w:t>200</w:t>
      </w:r>
      <w:r>
        <w:rPr>
          <w:rFonts w:hint="eastAsia"/>
          <w:bCs/>
          <w:sz w:val="24"/>
        </w:rPr>
        <w:t>万元</w:t>
      </w:r>
      <w:r>
        <w:rPr>
          <w:bCs/>
          <w:sz w:val="24"/>
        </w:rPr>
        <w:t>(</w:t>
      </w:r>
      <w:r>
        <w:rPr>
          <w:rFonts w:hint="eastAsia"/>
          <w:bCs/>
          <w:sz w:val="24"/>
        </w:rPr>
        <w:t>若该年度质押股权的股利分红大于该数值则以股利分红数额为准）；投标人已了解并认可百合百合公司的前述债务情况及还款计划。</w:t>
      </w:r>
    </w:p>
    <w:p>
      <w:pPr>
        <w:spacing w:line="360" w:lineRule="auto"/>
        <w:ind w:firstLine="480" w:firstLineChars="200"/>
        <w:rPr>
          <w:bCs/>
          <w:sz w:val="24"/>
        </w:rPr>
      </w:pPr>
      <w:r>
        <w:rPr>
          <w:bCs/>
          <w:sz w:val="24"/>
        </w:rPr>
        <w:t>5</w:t>
      </w:r>
      <w:r>
        <w:rPr>
          <w:rFonts w:hint="eastAsia"/>
          <w:bCs/>
          <w:sz w:val="24"/>
        </w:rPr>
        <w:t>、投标人同意在租赁合同期内（租期为十六年）质押股权每年的全部股利分红优先偿还百合百合公司对交通枢纽公司的历史债务，并由项目运营公司（在租赁合同权利义务转移协议签订生效前为投标人）直接支付至招标人或交通枢纽公司指定的银行账号；在租赁合同期内项目运营公司（在租赁合同权利义务转移协议签订生效前为投标人）除了缴纳租赁合同约定的租金外，每年还须通过质押股权全部股利分红用以优先偿还百合百乐公司对交通枢纽公司历史债务的方式，在租赁合同期的前两年每年至少向交通枢纽公司支付</w:t>
      </w:r>
      <w:r>
        <w:rPr>
          <w:bCs/>
          <w:sz w:val="24"/>
        </w:rPr>
        <w:t>150</w:t>
      </w:r>
      <w:r>
        <w:rPr>
          <w:rFonts w:hint="eastAsia"/>
          <w:bCs/>
          <w:sz w:val="24"/>
        </w:rPr>
        <w:t>万元，从第三年至第十六年，每年至少支付</w:t>
      </w:r>
      <w:r>
        <w:rPr>
          <w:bCs/>
          <w:sz w:val="24"/>
        </w:rPr>
        <w:t>200</w:t>
      </w:r>
      <w:r>
        <w:rPr>
          <w:rFonts w:hint="eastAsia"/>
          <w:bCs/>
          <w:sz w:val="24"/>
        </w:rPr>
        <w:t>万元</w:t>
      </w:r>
      <w:r>
        <w:rPr>
          <w:bCs/>
          <w:sz w:val="24"/>
        </w:rPr>
        <w:t>(</w:t>
      </w:r>
      <w:r>
        <w:rPr>
          <w:rFonts w:hint="eastAsia"/>
          <w:bCs/>
          <w:sz w:val="24"/>
        </w:rPr>
        <w:t>项目运营公司如盈利则每年至少分红一次，并于次年公历的</w:t>
      </w:r>
      <w:r>
        <w:rPr>
          <w:bCs/>
          <w:sz w:val="24"/>
        </w:rPr>
        <w:t>1</w:t>
      </w:r>
      <w:r>
        <w:rPr>
          <w:rFonts w:hint="eastAsia"/>
          <w:bCs/>
          <w:sz w:val="24"/>
        </w:rPr>
        <w:t>月</w:t>
      </w:r>
      <w:r>
        <w:rPr>
          <w:bCs/>
          <w:sz w:val="24"/>
        </w:rPr>
        <w:t>31</w:t>
      </w:r>
      <w:r>
        <w:rPr>
          <w:rFonts w:hint="eastAsia"/>
          <w:bCs/>
          <w:sz w:val="24"/>
        </w:rPr>
        <w:t>日前完成上一年度的股利分红，若该年度质押股权的股利分红大于前述约定的最低金额则以两者较高者为准）。</w:t>
      </w:r>
    </w:p>
    <w:p>
      <w:pPr>
        <w:spacing w:line="360" w:lineRule="auto"/>
        <w:ind w:firstLine="480" w:firstLineChars="200"/>
        <w:rPr>
          <w:bCs/>
          <w:sz w:val="24"/>
        </w:rPr>
      </w:pPr>
      <w:r>
        <w:rPr>
          <w:bCs/>
          <w:sz w:val="24"/>
        </w:rPr>
        <w:t>6</w:t>
      </w:r>
      <w:r>
        <w:rPr>
          <w:rFonts w:hint="eastAsia"/>
          <w:bCs/>
          <w:sz w:val="24"/>
        </w:rPr>
        <w:t>、在租赁合同期内，若百合百乐公司的还款金额与质押股权对应的全部股利分红之和低于该年度百合百乐公司在还款计划中承诺的最低还款金额，则项目运营公司（在租赁合同权利义务转移协议签订生效前为投标人）须对百合百合百乐公司每年的最低还款金额进行兜底代为偿还，并在收到交通枢纽公司书面通知后在其规定的期限内补足差额，否则，招标人有权对项目运营公司或投标人采取包括但不限于停止水、电、气供应并可单方书面通知项目运营公司或投标人解除租赁合同等措施；历史债务偿还、股权质押等具体事宜，在投标人中标后</w:t>
      </w:r>
      <w:r>
        <w:rPr>
          <w:bCs/>
          <w:sz w:val="24"/>
        </w:rPr>
        <w:t>60</w:t>
      </w:r>
      <w:r>
        <w:rPr>
          <w:rFonts w:hint="eastAsia"/>
          <w:bCs/>
          <w:sz w:val="24"/>
        </w:rPr>
        <w:t>日内，由招标人、投标人、交通枢纽公司、百合白乐公司及相关方另行签订协议进行约定（注：以上“股利分红”为税后纯利，涉及企业所得税等相关税费均由项目运营公司承担）。</w:t>
      </w:r>
    </w:p>
    <w:p>
      <w:pPr>
        <w:spacing w:line="360" w:lineRule="auto"/>
        <w:ind w:firstLine="482" w:firstLineChars="200"/>
        <w:rPr>
          <w:b/>
          <w:sz w:val="24"/>
        </w:rPr>
      </w:pPr>
      <w:r>
        <w:rPr>
          <w:rFonts w:hint="eastAsia"/>
          <w:b/>
          <w:sz w:val="24"/>
        </w:rPr>
        <w:t>五、其他要求</w:t>
      </w:r>
    </w:p>
    <w:p>
      <w:pPr>
        <w:spacing w:line="360" w:lineRule="auto"/>
        <w:ind w:firstLine="480" w:firstLineChars="200"/>
        <w:rPr>
          <w:sz w:val="24"/>
        </w:rPr>
      </w:pPr>
      <w:r>
        <w:rPr>
          <w:rFonts w:hint="eastAsia"/>
          <w:sz w:val="24"/>
        </w:rPr>
        <w:t>1、</w:t>
      </w:r>
      <w:r>
        <w:rPr>
          <w:sz w:val="24"/>
        </w:rPr>
        <w:t>开业要求：2020年12月31日前完成装修改造并且开业；</w:t>
      </w:r>
    </w:p>
    <w:p>
      <w:pPr>
        <w:spacing w:line="360" w:lineRule="auto"/>
        <w:ind w:firstLine="480" w:firstLineChars="200"/>
        <w:rPr>
          <w:sz w:val="24"/>
        </w:rPr>
      </w:pPr>
      <w:r>
        <w:rPr>
          <w:rFonts w:hint="eastAsia"/>
          <w:sz w:val="24"/>
        </w:rPr>
        <w:t>2、</w:t>
      </w:r>
      <w:r>
        <w:rPr>
          <w:sz w:val="24"/>
        </w:rPr>
        <w:t>进度要求：2020年5月30日前，完成装修改造设计方案；</w:t>
      </w:r>
    </w:p>
    <w:p>
      <w:pPr>
        <w:spacing w:line="360" w:lineRule="auto"/>
        <w:ind w:firstLine="482" w:firstLineChars="200"/>
        <w:rPr>
          <w:b/>
          <w:sz w:val="24"/>
        </w:rPr>
      </w:pPr>
      <w:r>
        <w:rPr>
          <w:rFonts w:hint="eastAsia"/>
          <w:b/>
          <w:sz w:val="24"/>
        </w:rPr>
        <w:t>六、租赁区域图</w:t>
      </w:r>
    </w:p>
    <w:p>
      <w:pPr>
        <w:tabs>
          <w:tab w:val="left" w:pos="7920"/>
        </w:tabs>
        <w:spacing w:line="480" w:lineRule="exact"/>
        <w:ind w:left="-94" w:leftChars="-45" w:right="15" w:rightChars="7" w:firstLine="576" w:firstLineChars="240"/>
        <w:rPr>
          <w:sz w:val="24"/>
        </w:rPr>
      </w:pPr>
    </w:p>
    <w:p>
      <w:pPr>
        <w:ind w:firstLine="140" w:firstLineChars="67"/>
      </w:pPr>
      <w:r>
        <w:drawing>
          <wp:inline distT="0" distB="0" distL="0" distR="0">
            <wp:extent cx="6108700" cy="344170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6108700" cy="3441700"/>
                    </a:xfrm>
                    <a:prstGeom prst="rect">
                      <a:avLst/>
                    </a:prstGeom>
                    <a:noFill/>
                    <a:ln w="9525" cmpd="sng">
                      <a:noFill/>
                      <a:miter lim="800000"/>
                      <a:headEnd/>
                      <a:tailEnd/>
                    </a:ln>
                  </pic:spPr>
                </pic:pic>
              </a:graphicData>
            </a:graphic>
          </wp:inline>
        </w:drawing>
      </w:r>
    </w:p>
    <w:p>
      <w:pPr>
        <w:ind w:firstLine="140" w:firstLineChars="67"/>
      </w:pPr>
    </w:p>
    <w:bookmarkEnd w:id="39"/>
    <w:p>
      <w:pPr>
        <w:spacing w:line="400" w:lineRule="exact"/>
        <w:ind w:firstLine="420" w:firstLineChars="200"/>
        <w:rPr>
          <w:sz w:val="24"/>
        </w:rPr>
      </w:pPr>
      <w:bookmarkStart w:id="68" w:name="_Toc318840509"/>
      <w:bookmarkStart w:id="69" w:name="_Toc321052833"/>
      <w:bookmarkStart w:id="70" w:name="_Toc227520434"/>
      <w:r>
        <w:drawing>
          <wp:anchor distT="0" distB="0" distL="114300" distR="114300" simplePos="0" relativeHeight="251657216" behindDoc="0" locked="0" layoutInCell="1" allowOverlap="1">
            <wp:simplePos x="0" y="0"/>
            <wp:positionH relativeFrom="column">
              <wp:posOffset>22860</wp:posOffset>
            </wp:positionH>
            <wp:positionV relativeFrom="paragraph">
              <wp:posOffset>3658870</wp:posOffset>
            </wp:positionV>
            <wp:extent cx="6115050" cy="3438525"/>
            <wp:effectExtent l="19050" t="0" r="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srcRect/>
                    <a:stretch>
                      <a:fillRect/>
                    </a:stretch>
                  </pic:blipFill>
                  <pic:spPr>
                    <a:xfrm>
                      <a:off x="0" y="0"/>
                      <a:ext cx="6115050" cy="3438525"/>
                    </a:xfrm>
                    <a:prstGeom prst="rect">
                      <a:avLst/>
                    </a:prstGeom>
                    <a:noFill/>
                    <a:ln w="9525" cmpd="sng">
                      <a:noFill/>
                      <a:miter lim="800000"/>
                      <a:headEnd/>
                      <a:tailEnd/>
                    </a:ln>
                  </pic:spPr>
                </pic:pic>
              </a:graphicData>
            </a:graphic>
          </wp:anchor>
        </w:drawing>
      </w:r>
      <w:r>
        <w:drawing>
          <wp:anchor distT="0" distB="0" distL="114300" distR="114300" simplePos="0" relativeHeight="251656192" behindDoc="0" locked="0" layoutInCell="1" allowOverlap="1">
            <wp:simplePos x="0" y="0"/>
            <wp:positionH relativeFrom="column">
              <wp:posOffset>22860</wp:posOffset>
            </wp:positionH>
            <wp:positionV relativeFrom="paragraph">
              <wp:posOffset>29210</wp:posOffset>
            </wp:positionV>
            <wp:extent cx="6115050" cy="3438525"/>
            <wp:effectExtent l="1905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srcRect/>
                    <a:stretch>
                      <a:fillRect/>
                    </a:stretch>
                  </pic:blipFill>
                  <pic:spPr>
                    <a:xfrm>
                      <a:off x="0" y="0"/>
                      <a:ext cx="6115050" cy="3438525"/>
                    </a:xfrm>
                    <a:prstGeom prst="rect">
                      <a:avLst/>
                    </a:prstGeom>
                    <a:noFill/>
                    <a:ln w="9525" cmpd="sng">
                      <a:noFill/>
                      <a:miter lim="800000"/>
                      <a:headEnd/>
                      <a:tailEnd/>
                    </a:ln>
                  </pic:spPr>
                </pic:pic>
              </a:graphicData>
            </a:graphic>
          </wp:anchor>
        </w:drawing>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20" w:firstLineChars="200"/>
        <w:rPr>
          <w:sz w:val="24"/>
        </w:rPr>
      </w:pPr>
      <w:r>
        <w:drawing>
          <wp:anchor distT="0" distB="0" distL="114300" distR="114300" simplePos="0" relativeHeight="251658240" behindDoc="0" locked="0" layoutInCell="1" allowOverlap="1">
            <wp:simplePos x="0" y="0"/>
            <wp:positionH relativeFrom="column">
              <wp:posOffset>232410</wp:posOffset>
            </wp:positionH>
            <wp:positionV relativeFrom="paragraph">
              <wp:posOffset>524510</wp:posOffset>
            </wp:positionV>
            <wp:extent cx="6115050" cy="3438525"/>
            <wp:effectExtent l="1905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srcRect/>
                    <a:stretch>
                      <a:fillRect/>
                    </a:stretch>
                  </pic:blipFill>
                  <pic:spPr>
                    <a:xfrm>
                      <a:off x="0" y="0"/>
                      <a:ext cx="6115050" cy="3438525"/>
                    </a:xfrm>
                    <a:prstGeom prst="rect">
                      <a:avLst/>
                    </a:prstGeom>
                    <a:noFill/>
                    <a:ln w="9525" cmpd="sng">
                      <a:noFill/>
                      <a:miter lim="800000"/>
                      <a:headEnd/>
                      <a:tailEnd/>
                    </a:ln>
                  </pic:spPr>
                </pic:pic>
              </a:graphicData>
            </a:graphic>
          </wp:anchor>
        </w:drawing>
      </w:r>
    </w:p>
    <w:p>
      <w:pPr>
        <w:spacing w:line="400" w:lineRule="exact"/>
        <w:ind w:firstLine="480" w:firstLineChars="200"/>
        <w:rPr>
          <w:sz w:val="24"/>
        </w:rPr>
      </w:pPr>
    </w:p>
    <w:p>
      <w:pPr>
        <w:spacing w:line="400" w:lineRule="exact"/>
        <w:ind w:firstLine="420" w:firstLineChars="200"/>
        <w:rPr>
          <w:sz w:val="24"/>
        </w:rPr>
      </w:pPr>
      <w:r>
        <w:drawing>
          <wp:anchor distT="0" distB="0" distL="114300" distR="114300" simplePos="0" relativeHeight="251658240" behindDoc="0" locked="0" layoutInCell="1" allowOverlap="1">
            <wp:simplePos x="0" y="0"/>
            <wp:positionH relativeFrom="column">
              <wp:posOffset>184785</wp:posOffset>
            </wp:positionH>
            <wp:positionV relativeFrom="paragraph">
              <wp:posOffset>3655695</wp:posOffset>
            </wp:positionV>
            <wp:extent cx="6115050" cy="3438525"/>
            <wp:effectExtent l="1905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srcRect/>
                    <a:stretch>
                      <a:fillRect/>
                    </a:stretch>
                  </pic:blipFill>
                  <pic:spPr>
                    <a:xfrm>
                      <a:off x="0" y="0"/>
                      <a:ext cx="6115050" cy="3438525"/>
                    </a:xfrm>
                    <a:prstGeom prst="rect">
                      <a:avLst/>
                    </a:prstGeom>
                    <a:noFill/>
                    <a:ln w="9525" cmpd="sng">
                      <a:noFill/>
                      <a:miter lim="800000"/>
                      <a:headEnd/>
                      <a:tailEnd/>
                    </a:ln>
                  </pic:spPr>
                </pic:pic>
              </a:graphicData>
            </a:graphic>
          </wp:anchor>
        </w:drawing>
      </w:r>
    </w:p>
    <w:p>
      <w:pPr>
        <w:spacing w:line="400" w:lineRule="exact"/>
        <w:rPr>
          <w:sz w:val="24"/>
        </w:rPr>
      </w:pPr>
    </w:p>
    <w:p>
      <w:pPr>
        <w:adjustRightInd w:val="0"/>
        <w:snapToGrid w:val="0"/>
        <w:spacing w:line="440" w:lineRule="exact"/>
        <w:ind w:firstLine="482" w:firstLineChars="200"/>
      </w:pPr>
      <w:r>
        <w:rPr>
          <w:rFonts w:hint="eastAsia"/>
          <w:b/>
          <w:bCs/>
          <w:kern w:val="32"/>
          <w:sz w:val="24"/>
        </w:rPr>
        <w:t>注：以上要求及标准均为实质性条款，投标人不得有任何负偏离，否则作无效投标处理，</w:t>
      </w:r>
      <w:r>
        <w:rPr>
          <w:rFonts w:hint="eastAsia"/>
          <w:b/>
          <w:bCs/>
          <w:sz w:val="24"/>
        </w:rPr>
        <w:t>对于上述项目要求，投标人应在投标文件中进行回应，做出承诺及说明。</w:t>
      </w:r>
    </w:p>
    <w:p/>
    <w:p>
      <w:pPr>
        <w:pStyle w:val="2"/>
        <w:spacing w:line="400" w:lineRule="exact"/>
        <w:jc w:val="center"/>
      </w:pPr>
    </w:p>
    <w:p>
      <w:pPr>
        <w:pStyle w:val="2"/>
        <w:spacing w:line="240" w:lineRule="auto"/>
        <w:jc w:val="center"/>
        <w:rPr>
          <w:b w:val="0"/>
          <w:bCs w:val="0"/>
          <w:color w:val="000000"/>
          <w:sz w:val="48"/>
          <w:szCs w:val="48"/>
        </w:rPr>
      </w:pPr>
      <w:r>
        <w:rPr>
          <w:rFonts w:hint="eastAsia"/>
        </w:rPr>
        <w:t xml:space="preserve">第四章  </w:t>
      </w:r>
      <w:bookmarkEnd w:id="68"/>
      <w:r>
        <w:rPr>
          <w:rFonts w:hint="eastAsia"/>
        </w:rPr>
        <w:t>合同格式</w:t>
      </w:r>
      <w:bookmarkEnd w:id="69"/>
    </w:p>
    <w:p>
      <w:pPr>
        <w:wordWrap w:val="0"/>
        <w:spacing w:line="500" w:lineRule="exact"/>
        <w:jc w:val="right"/>
        <w:rPr>
          <w:color w:val="000000"/>
          <w:sz w:val="28"/>
          <w:szCs w:val="28"/>
          <w:u w:val="single"/>
        </w:rPr>
      </w:pPr>
      <w:bookmarkStart w:id="71" w:name="_Toc321052834"/>
      <w:r>
        <w:rPr>
          <w:rFonts w:hint="eastAsia"/>
          <w:color w:val="000000"/>
          <w:sz w:val="28"/>
          <w:szCs w:val="28"/>
        </w:rPr>
        <w:t>合同编号：</w:t>
      </w:r>
      <w:r>
        <w:rPr>
          <w:rFonts w:hint="eastAsia"/>
          <w:color w:val="000000"/>
          <w:sz w:val="18"/>
          <w:szCs w:val="18"/>
          <w:u w:val="single"/>
        </w:rPr>
        <w:t xml:space="preserve">                                 </w:t>
      </w:r>
    </w:p>
    <w:p>
      <w:pPr>
        <w:rPr>
          <w:rFonts w:ascii="华文中宋" w:hAnsi="华文中宋" w:eastAsia="华文中宋"/>
          <w:color w:val="FF0000"/>
          <w:sz w:val="42"/>
          <w:szCs w:val="42"/>
        </w:rPr>
      </w:pPr>
    </w:p>
    <w:p>
      <w:pPr>
        <w:spacing w:before="240" w:beforeLines="100" w:after="240" w:afterLines="100"/>
        <w:jc w:val="center"/>
        <w:rPr>
          <w:rFonts w:ascii="仿宋" w:hAnsi="仿宋" w:eastAsia="仿宋"/>
          <w:b/>
          <w:bCs/>
          <w:spacing w:val="24"/>
          <w:sz w:val="36"/>
          <w:szCs w:val="28"/>
        </w:rPr>
      </w:pPr>
      <w:r>
        <w:rPr>
          <w:rFonts w:hint="eastAsia" w:ascii="仿宋" w:hAnsi="仿宋" w:eastAsia="仿宋"/>
          <w:b/>
          <w:bCs/>
          <w:spacing w:val="24"/>
          <w:sz w:val="36"/>
          <w:szCs w:val="28"/>
        </w:rPr>
        <w:t>长沙先导恒通商业管理有限公司</w:t>
      </w:r>
    </w:p>
    <w:p>
      <w:pPr>
        <w:spacing w:before="240" w:beforeLines="100" w:after="240" w:afterLines="100"/>
        <w:jc w:val="center"/>
        <w:rPr>
          <w:rFonts w:ascii="仿宋" w:hAnsi="仿宋" w:eastAsia="仿宋"/>
          <w:b/>
          <w:bCs/>
          <w:spacing w:val="24"/>
          <w:sz w:val="36"/>
          <w:szCs w:val="28"/>
        </w:rPr>
      </w:pPr>
      <w:r>
        <w:rPr>
          <w:rFonts w:hint="eastAsia" w:ascii="仿宋" w:hAnsi="仿宋" w:eastAsia="仿宋"/>
          <w:b/>
          <w:bCs/>
          <w:spacing w:val="24"/>
          <w:sz w:val="36"/>
          <w:szCs w:val="28"/>
        </w:rPr>
        <w:t>经营权承包合同</w:t>
      </w:r>
    </w:p>
    <w:p>
      <w:pPr>
        <w:spacing w:before="240" w:beforeLines="100" w:after="600" w:afterLines="250"/>
        <w:ind w:firstLine="658"/>
        <w:jc w:val="center"/>
        <w:rPr>
          <w:rFonts w:ascii="仿宋" w:hAnsi="仿宋" w:eastAsia="仿宋"/>
          <w:b/>
          <w:bCs/>
          <w:spacing w:val="24"/>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
          <w:bCs/>
          <w:sz w:val="36"/>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spacing w:line="440" w:lineRule="exact"/>
        <w:ind w:firstLine="480"/>
        <w:rPr>
          <w:rFonts w:ascii="仿宋" w:hAnsi="仿宋" w:eastAsia="仿宋"/>
          <w:bCs/>
          <w:sz w:val="28"/>
          <w:szCs w:val="28"/>
        </w:rPr>
      </w:pPr>
    </w:p>
    <w:p>
      <w:pPr>
        <w:ind w:firstLine="560"/>
        <w:rPr>
          <w:rFonts w:ascii="仿宋" w:hAnsi="仿宋" w:eastAsia="仿宋"/>
          <w:sz w:val="28"/>
          <w:szCs w:val="28"/>
        </w:rPr>
      </w:pPr>
      <w:r>
        <w:rPr>
          <w:rFonts w:hint="eastAsia" w:ascii="仿宋" w:hAnsi="仿宋" w:eastAsia="仿宋"/>
          <w:sz w:val="28"/>
          <w:szCs w:val="28"/>
        </w:rPr>
        <w:t xml:space="preserve">本租赁合同由下述双方于   年    月    </w:t>
      </w:r>
      <w:r>
        <w:rPr>
          <w:rFonts w:ascii="仿宋" w:hAnsi="仿宋" w:eastAsia="仿宋"/>
          <w:sz w:val="28"/>
          <w:szCs w:val="28"/>
        </w:rPr>
        <w:t>日在中华人民共和国湖南省签订：</w:t>
      </w:r>
    </w:p>
    <w:p>
      <w:pPr>
        <w:ind w:firstLine="560"/>
        <w:rPr>
          <w:rFonts w:ascii="仿宋" w:hAnsi="仿宋" w:eastAsia="仿宋"/>
          <w:sz w:val="28"/>
          <w:szCs w:val="28"/>
        </w:rPr>
      </w:pPr>
      <w:r>
        <w:rPr>
          <w:rFonts w:hint="eastAsia" w:ascii="仿宋" w:hAnsi="仿宋" w:eastAsia="仿宋"/>
          <w:sz w:val="28"/>
          <w:szCs w:val="28"/>
        </w:rPr>
        <w:t>甲方公司名称：长沙先导恒通商业管理有限公司</w:t>
      </w:r>
      <w:r>
        <w:rPr>
          <w:rFonts w:ascii="仿宋" w:hAnsi="仿宋" w:eastAsia="仿宋"/>
          <w:sz w:val="28"/>
          <w:szCs w:val="28"/>
        </w:rPr>
        <w:t>(以下称 “甲方”)，</w:t>
      </w:r>
    </w:p>
    <w:p>
      <w:pPr>
        <w:ind w:firstLine="560"/>
        <w:rPr>
          <w:rFonts w:ascii="仿宋" w:hAnsi="仿宋" w:eastAsia="仿宋"/>
          <w:sz w:val="28"/>
          <w:szCs w:val="28"/>
        </w:rPr>
      </w:pPr>
      <w:r>
        <w:rPr>
          <w:rFonts w:hint="eastAsia" w:ascii="仿宋" w:hAnsi="仿宋" w:eastAsia="仿宋"/>
          <w:sz w:val="28"/>
          <w:szCs w:val="28"/>
        </w:rPr>
        <w:t>注册号为：91430100MA4LHPE11W          ，</w:t>
      </w:r>
    </w:p>
    <w:p>
      <w:pPr>
        <w:ind w:firstLine="560"/>
        <w:rPr>
          <w:rFonts w:ascii="仿宋" w:hAnsi="仿宋" w:eastAsia="仿宋"/>
          <w:sz w:val="28"/>
          <w:szCs w:val="28"/>
        </w:rPr>
      </w:pPr>
      <w:r>
        <w:rPr>
          <w:rFonts w:hint="eastAsia" w:ascii="仿宋" w:hAnsi="仿宋" w:eastAsia="仿宋"/>
          <w:sz w:val="28"/>
          <w:szCs w:val="28"/>
        </w:rPr>
        <w:t xml:space="preserve">注册地址为：湖南省长沙市岳麓区望城坡街道枫林三路49号湘江新区综合交通枢纽换乘大楼4楼            </w:t>
      </w:r>
    </w:p>
    <w:p>
      <w:pPr>
        <w:ind w:firstLine="560"/>
        <w:rPr>
          <w:rFonts w:ascii="仿宋" w:hAnsi="仿宋" w:eastAsia="仿宋"/>
          <w:sz w:val="28"/>
          <w:szCs w:val="28"/>
        </w:rPr>
      </w:pPr>
      <w:r>
        <w:rPr>
          <w:rFonts w:ascii="仿宋" w:hAnsi="仿宋" w:eastAsia="仿宋"/>
          <w:sz w:val="28"/>
          <w:szCs w:val="28"/>
        </w:rPr>
        <w:t>法定代表人：</w:t>
      </w:r>
      <w:r>
        <w:rPr>
          <w:rFonts w:hint="eastAsia" w:ascii="仿宋" w:hAnsi="仿宋" w:eastAsia="仿宋"/>
          <w:sz w:val="28"/>
          <w:szCs w:val="28"/>
        </w:rPr>
        <w:t>李芳。</w:t>
      </w:r>
    </w:p>
    <w:p>
      <w:pPr>
        <w:ind w:firstLine="560"/>
        <w:rPr>
          <w:rFonts w:ascii="仿宋" w:hAnsi="仿宋" w:eastAsia="仿宋"/>
          <w:sz w:val="28"/>
          <w:szCs w:val="28"/>
        </w:rPr>
      </w:pPr>
    </w:p>
    <w:p>
      <w:pPr>
        <w:ind w:firstLine="560"/>
        <w:rPr>
          <w:rFonts w:ascii="仿宋" w:hAnsi="仿宋" w:eastAsia="仿宋"/>
          <w:sz w:val="28"/>
          <w:szCs w:val="28"/>
        </w:rPr>
      </w:pPr>
      <w:r>
        <w:rPr>
          <w:rFonts w:hint="eastAsia" w:ascii="仿宋" w:hAnsi="仿宋" w:eastAsia="仿宋"/>
          <w:sz w:val="28"/>
          <w:szCs w:val="28"/>
        </w:rPr>
        <w:t xml:space="preserve">乙方公司名称：                   </w:t>
      </w:r>
      <w:r>
        <w:rPr>
          <w:rFonts w:ascii="仿宋" w:hAnsi="仿宋" w:eastAsia="仿宋"/>
          <w:sz w:val="28"/>
          <w:szCs w:val="28"/>
        </w:rPr>
        <w:t>(以下称 “</w:t>
      </w:r>
      <w:r>
        <w:rPr>
          <w:rFonts w:hint="eastAsia" w:ascii="仿宋" w:hAnsi="仿宋" w:eastAsia="仿宋"/>
          <w:sz w:val="28"/>
          <w:szCs w:val="28"/>
        </w:rPr>
        <w:t>乙方</w:t>
      </w:r>
      <w:r>
        <w:rPr>
          <w:rFonts w:ascii="仿宋" w:hAnsi="仿宋" w:eastAsia="仿宋"/>
          <w:sz w:val="28"/>
          <w:szCs w:val="28"/>
        </w:rPr>
        <w:t>”)</w:t>
      </w:r>
      <w:r>
        <w:rPr>
          <w:rFonts w:hint="eastAsia" w:ascii="仿宋" w:hAnsi="仿宋" w:eastAsia="仿宋"/>
          <w:sz w:val="28"/>
          <w:szCs w:val="28"/>
        </w:rPr>
        <w:t>，</w:t>
      </w:r>
    </w:p>
    <w:p>
      <w:pPr>
        <w:tabs>
          <w:tab w:val="left" w:pos="7802"/>
        </w:tabs>
        <w:ind w:firstLine="560"/>
        <w:rPr>
          <w:rFonts w:ascii="仿宋" w:hAnsi="仿宋" w:eastAsia="仿宋"/>
          <w:sz w:val="28"/>
          <w:szCs w:val="28"/>
        </w:rPr>
      </w:pPr>
      <w:r>
        <w:rPr>
          <w:rFonts w:hint="eastAsia" w:ascii="仿宋" w:hAnsi="仿宋" w:eastAsia="仿宋"/>
          <w:sz w:val="28"/>
          <w:szCs w:val="28"/>
        </w:rPr>
        <w:t>注册号为：           ，</w:t>
      </w:r>
      <w:r>
        <w:rPr>
          <w:rFonts w:hint="eastAsia" w:ascii="仿宋" w:hAnsi="仿宋" w:eastAsia="仿宋"/>
          <w:sz w:val="28"/>
          <w:szCs w:val="28"/>
        </w:rPr>
        <w:tab/>
      </w:r>
    </w:p>
    <w:p>
      <w:pPr>
        <w:ind w:firstLine="560"/>
        <w:rPr>
          <w:rFonts w:ascii="仿宋" w:hAnsi="仿宋" w:eastAsia="仿宋"/>
          <w:sz w:val="28"/>
          <w:szCs w:val="28"/>
        </w:rPr>
      </w:pPr>
      <w:r>
        <w:rPr>
          <w:rFonts w:hint="eastAsia" w:ascii="仿宋" w:hAnsi="仿宋" w:eastAsia="仿宋"/>
          <w:sz w:val="28"/>
          <w:szCs w:val="28"/>
        </w:rPr>
        <w:t xml:space="preserve">注册地址为：                 </w:t>
      </w:r>
      <w:r>
        <w:rPr>
          <w:rFonts w:ascii="仿宋" w:hAnsi="仿宋" w:eastAsia="仿宋"/>
          <w:sz w:val="28"/>
          <w:szCs w:val="28"/>
        </w:rPr>
        <w:t>，</w:t>
      </w:r>
    </w:p>
    <w:p>
      <w:pPr>
        <w:ind w:firstLine="560"/>
        <w:rPr>
          <w:rFonts w:ascii="仿宋" w:hAnsi="仿宋" w:eastAsia="仿宋"/>
          <w:sz w:val="28"/>
          <w:szCs w:val="28"/>
        </w:rPr>
      </w:pPr>
      <w:r>
        <w:rPr>
          <w:rFonts w:hint="eastAsia" w:ascii="仿宋" w:hAnsi="仿宋" w:eastAsia="仿宋"/>
          <w:sz w:val="28"/>
          <w:szCs w:val="28"/>
        </w:rPr>
        <w:t>法定代表人：</w:t>
      </w:r>
    </w:p>
    <w:p>
      <w:pPr>
        <w:ind w:firstLine="560"/>
        <w:rPr>
          <w:rFonts w:ascii="仿宋" w:hAnsi="仿宋" w:eastAsia="仿宋"/>
          <w:sz w:val="28"/>
          <w:szCs w:val="28"/>
        </w:rPr>
      </w:pPr>
      <w:r>
        <w:rPr>
          <w:rFonts w:hint="eastAsia" w:ascii="仿宋" w:hAnsi="仿宋" w:eastAsia="仿宋"/>
          <w:sz w:val="28"/>
          <w:szCs w:val="28"/>
        </w:rPr>
        <w:t>乙方若为法人或其他组织应提供主体资格证明、营业执照、税务登记证等文件；若为自然人应提供身份证，甲方验证后可复印留存。上述所有复印件仅供本次租赁使用。</w:t>
      </w:r>
    </w:p>
    <w:p>
      <w:pPr>
        <w:ind w:firstLine="562"/>
        <w:rPr>
          <w:rFonts w:ascii="仿宋" w:hAnsi="仿宋" w:eastAsia="仿宋"/>
          <w:b/>
          <w:sz w:val="28"/>
          <w:szCs w:val="28"/>
        </w:rPr>
      </w:pPr>
      <w:r>
        <w:rPr>
          <w:rFonts w:hint="eastAsia" w:ascii="仿宋" w:hAnsi="仿宋" w:eastAsia="仿宋"/>
          <w:b/>
          <w:sz w:val="28"/>
          <w:szCs w:val="28"/>
        </w:rPr>
        <w:t>鉴于：</w:t>
      </w:r>
    </w:p>
    <w:p>
      <w:pPr>
        <w:ind w:firstLine="560"/>
        <w:rPr>
          <w:rFonts w:ascii="仿宋" w:hAnsi="仿宋" w:eastAsia="仿宋"/>
          <w:sz w:val="28"/>
          <w:szCs w:val="28"/>
        </w:rPr>
      </w:pPr>
      <w:r>
        <w:rPr>
          <w:rFonts w:ascii="仿宋" w:hAnsi="仿宋" w:eastAsia="仿宋"/>
          <w:sz w:val="28"/>
          <w:szCs w:val="28"/>
        </w:rPr>
        <w:t xml:space="preserve">a)  </w:t>
      </w:r>
      <w:r>
        <w:rPr>
          <w:rFonts w:hint="eastAsia" w:ascii="仿宋" w:hAnsi="仿宋" w:eastAsia="仿宋"/>
          <w:sz w:val="28"/>
          <w:szCs w:val="28"/>
        </w:rPr>
        <w:t>甲方是本合同所述之租赁物业的出租权，愿意将该物业租赁给乙方；</w:t>
      </w:r>
    </w:p>
    <w:p>
      <w:pPr>
        <w:ind w:firstLine="560"/>
        <w:rPr>
          <w:rFonts w:ascii="仿宋" w:hAnsi="仿宋" w:eastAsia="仿宋"/>
          <w:sz w:val="28"/>
          <w:szCs w:val="28"/>
        </w:rPr>
      </w:pPr>
      <w:r>
        <w:rPr>
          <w:rFonts w:ascii="仿宋" w:hAnsi="仿宋" w:eastAsia="仿宋"/>
          <w:sz w:val="28"/>
          <w:szCs w:val="28"/>
        </w:rPr>
        <w:t xml:space="preserve">b)  </w:t>
      </w:r>
      <w:r>
        <w:rPr>
          <w:rFonts w:hint="eastAsia" w:ascii="仿宋" w:hAnsi="仿宋" w:eastAsia="仿宋"/>
          <w:sz w:val="28"/>
          <w:szCs w:val="28"/>
        </w:rPr>
        <w:t>乙方是合法成立并有效存续的独立法人/其他组织/具有完全民事行为能力的自然人，愿意承租租赁物业用于本租赁合同所述之用途。</w:t>
      </w:r>
    </w:p>
    <w:p>
      <w:pPr>
        <w:ind w:firstLine="562"/>
        <w:rPr>
          <w:rFonts w:ascii="仿宋" w:hAnsi="仿宋" w:eastAsia="仿宋"/>
          <w:b/>
          <w:sz w:val="28"/>
          <w:szCs w:val="28"/>
        </w:rPr>
      </w:pPr>
      <w:r>
        <w:rPr>
          <w:rFonts w:hint="eastAsia" w:ascii="仿宋" w:hAnsi="仿宋" w:eastAsia="仿宋"/>
          <w:b/>
          <w:sz w:val="28"/>
          <w:szCs w:val="28"/>
        </w:rPr>
        <w:t>鉴此，甲乙双方经友好协商，达成如下协议，以兹共同遵守</w:t>
      </w:r>
      <w:r>
        <w:rPr>
          <w:rFonts w:ascii="仿宋" w:hAnsi="仿宋" w:eastAsia="仿宋"/>
          <w:b/>
          <w:sz w:val="28"/>
          <w:szCs w:val="28"/>
        </w:rPr>
        <w:t>(下</w:t>
      </w:r>
      <w:r>
        <w:rPr>
          <w:rFonts w:hint="eastAsia" w:ascii="仿宋" w:hAnsi="仿宋" w:eastAsia="仿宋"/>
          <w:b/>
          <w:sz w:val="28"/>
          <w:szCs w:val="28"/>
        </w:rPr>
        <w:t>文中甲方和乙方合称为“双方”，单独称为“一方”</w:t>
      </w:r>
      <w:r>
        <w:rPr>
          <w:rFonts w:ascii="仿宋" w:hAnsi="仿宋" w:eastAsia="仿宋"/>
          <w:b/>
          <w:sz w:val="28"/>
          <w:szCs w:val="28"/>
        </w:rPr>
        <w:t>)</w:t>
      </w:r>
      <w:r>
        <w:rPr>
          <w:rFonts w:hint="eastAsia" w:ascii="仿宋" w:hAnsi="仿宋" w:eastAsia="仿宋"/>
          <w:b/>
          <w:sz w:val="28"/>
          <w:szCs w:val="28"/>
        </w:rPr>
        <w:t>。</w:t>
      </w:r>
    </w:p>
    <w:p>
      <w:pPr>
        <w:rPr>
          <w:rFonts w:ascii="仿宋" w:hAnsi="仿宋" w:eastAsia="仿宋"/>
          <w:b/>
          <w:sz w:val="28"/>
          <w:szCs w:val="28"/>
        </w:rPr>
      </w:pPr>
      <w:r>
        <w:rPr>
          <w:rFonts w:hint="eastAsia" w:ascii="仿宋" w:hAnsi="仿宋" w:eastAsia="仿宋"/>
          <w:b/>
          <w:sz w:val="28"/>
          <w:szCs w:val="28"/>
        </w:rPr>
        <w:t>第一</w:t>
      </w:r>
      <w:r>
        <w:rPr>
          <w:rFonts w:ascii="仿宋" w:hAnsi="仿宋" w:eastAsia="仿宋"/>
          <w:b/>
          <w:sz w:val="28"/>
          <w:szCs w:val="28"/>
        </w:rPr>
        <w:t>条</w:t>
      </w:r>
      <w:r>
        <w:rPr>
          <w:rFonts w:hint="eastAsia" w:ascii="仿宋" w:hAnsi="仿宋" w:eastAsia="仿宋"/>
          <w:b/>
          <w:sz w:val="28"/>
          <w:szCs w:val="28"/>
        </w:rPr>
        <w:t xml:space="preserve">  租赁范围</w:t>
      </w:r>
    </w:p>
    <w:p>
      <w:pPr>
        <w:ind w:firstLine="560"/>
        <w:rPr>
          <w:rFonts w:ascii="仿宋" w:hAnsi="仿宋" w:eastAsia="仿宋"/>
          <w:sz w:val="28"/>
          <w:szCs w:val="28"/>
        </w:rPr>
      </w:pPr>
      <w:r>
        <w:rPr>
          <w:rFonts w:ascii="仿宋" w:hAnsi="仿宋" w:eastAsia="仿宋"/>
          <w:sz w:val="28"/>
          <w:szCs w:val="28"/>
        </w:rPr>
        <w:t xml:space="preserve">1.l  </w:t>
      </w:r>
      <w:r>
        <w:rPr>
          <w:rFonts w:hint="eastAsia" w:ascii="仿宋" w:hAnsi="仿宋" w:eastAsia="仿宋"/>
          <w:sz w:val="28"/>
          <w:szCs w:val="28"/>
        </w:rPr>
        <w:t>作为本合同标的物的租赁物业系指下列物业：</w:t>
      </w:r>
    </w:p>
    <w:p>
      <w:pPr>
        <w:ind w:left="2" w:firstLine="562" w:firstLineChars="201"/>
        <w:rPr>
          <w:rFonts w:ascii="仿宋" w:hAnsi="仿宋" w:eastAsia="仿宋"/>
          <w:sz w:val="28"/>
          <w:szCs w:val="28"/>
        </w:rPr>
      </w:pPr>
      <w:r>
        <w:rPr>
          <w:rFonts w:hint="eastAsia" w:ascii="仿宋" w:hAnsi="仿宋" w:eastAsia="仿宋"/>
          <w:sz w:val="28"/>
          <w:szCs w:val="28"/>
        </w:rPr>
        <w:t>租赁物业：</w:t>
      </w:r>
      <w:r>
        <w:rPr>
          <w:rFonts w:hint="eastAsia" w:ascii="仿宋" w:hAnsi="仿宋" w:eastAsia="仿宋"/>
          <w:sz w:val="28"/>
          <w:szCs w:val="28"/>
          <w:u w:val="single"/>
        </w:rPr>
        <w:t>长沙市河西综合交通枢纽T3栋商业裙楼1至5楼，位于玉兰路与广夏路交叉口东北角</w:t>
      </w:r>
      <w:r>
        <w:rPr>
          <w:rFonts w:hint="eastAsia" w:ascii="仿宋" w:hAnsi="仿宋" w:eastAsia="仿宋"/>
          <w:sz w:val="28"/>
          <w:szCs w:val="28"/>
        </w:rPr>
        <w:t>，建筑面积为：</w:t>
      </w:r>
      <w:r>
        <w:rPr>
          <w:rFonts w:hint="eastAsia" w:ascii="仿宋" w:hAnsi="仿宋" w:eastAsia="仿宋"/>
          <w:sz w:val="28"/>
          <w:szCs w:val="28"/>
          <w:u w:val="single"/>
        </w:rPr>
        <w:t>21290.47</w:t>
      </w:r>
      <w:r>
        <w:rPr>
          <w:rFonts w:hint="eastAsia" w:ascii="仿宋" w:hAnsi="仿宋" w:eastAsia="仿宋"/>
          <w:sz w:val="28"/>
          <w:szCs w:val="28"/>
        </w:rPr>
        <w:t>平方米（以最终测绘报告为准）</w:t>
      </w:r>
      <w:r>
        <w:rPr>
          <w:rFonts w:hint="eastAsia" w:ascii="仿宋" w:hAnsi="仿宋" w:eastAsia="仿宋" w:cs="宋体"/>
          <w:sz w:val="28"/>
          <w:szCs w:val="28"/>
        </w:rPr>
        <w:t>。</w:t>
      </w:r>
    </w:p>
    <w:p>
      <w:pPr>
        <w:ind w:firstLine="560"/>
        <w:rPr>
          <w:rFonts w:ascii="仿宋" w:hAnsi="仿宋" w:eastAsia="仿宋"/>
          <w:sz w:val="28"/>
          <w:szCs w:val="28"/>
        </w:rPr>
      </w:pPr>
      <w:r>
        <w:rPr>
          <w:rFonts w:hint="eastAsia" w:ascii="仿宋" w:hAnsi="仿宋" w:eastAsia="仿宋"/>
          <w:sz w:val="28"/>
          <w:szCs w:val="28"/>
        </w:rPr>
        <w:t>以上租赁物业具体范围参见本合同附件1</w:t>
      </w:r>
      <w:r>
        <w:rPr>
          <w:rFonts w:ascii="仿宋" w:hAnsi="仿宋" w:eastAsia="仿宋"/>
          <w:sz w:val="28"/>
          <w:szCs w:val="28"/>
        </w:rPr>
        <w:t>《租赁物业平</w:t>
      </w:r>
      <w:r>
        <w:rPr>
          <w:rFonts w:hint="eastAsia" w:ascii="仿宋" w:hAnsi="仿宋" w:eastAsia="仿宋"/>
          <w:sz w:val="28"/>
          <w:szCs w:val="28"/>
        </w:rPr>
        <w:t>面图》，其中，阴影区域标明的区域为乙方租赁物业的所在区域。</w:t>
      </w:r>
    </w:p>
    <w:p>
      <w:pPr>
        <w:ind w:firstLine="560"/>
        <w:rPr>
          <w:rFonts w:ascii="仿宋" w:hAnsi="仿宋" w:eastAsia="仿宋"/>
          <w:sz w:val="28"/>
          <w:szCs w:val="28"/>
        </w:rPr>
      </w:pPr>
      <w:r>
        <w:rPr>
          <w:rFonts w:ascii="仿宋" w:hAnsi="仿宋" w:eastAsia="仿宋"/>
          <w:sz w:val="28"/>
          <w:szCs w:val="28"/>
        </w:rPr>
        <w:t>1.2  乙方确认，</w:t>
      </w:r>
      <w:r>
        <w:rPr>
          <w:rFonts w:hint="eastAsia" w:ascii="仿宋" w:hAnsi="仿宋" w:eastAsia="仿宋"/>
          <w:sz w:val="28"/>
          <w:szCs w:val="28"/>
        </w:rPr>
        <w:t>已</w:t>
      </w:r>
      <w:r>
        <w:rPr>
          <w:rFonts w:ascii="仿宋" w:hAnsi="仿宋" w:eastAsia="仿宋"/>
          <w:sz w:val="28"/>
          <w:szCs w:val="28"/>
        </w:rPr>
        <w:t>完全了解租赁物业的实际情况</w:t>
      </w:r>
      <w:r>
        <w:rPr>
          <w:rFonts w:hint="eastAsia" w:ascii="仿宋" w:hAnsi="仿宋" w:eastAsia="仿宋"/>
          <w:sz w:val="28"/>
          <w:szCs w:val="28"/>
        </w:rPr>
        <w:t>，依据本第</w:t>
      </w:r>
      <w:r>
        <w:rPr>
          <w:rFonts w:ascii="仿宋" w:hAnsi="仿宋" w:eastAsia="仿宋"/>
          <w:sz w:val="28"/>
          <w:szCs w:val="28"/>
        </w:rPr>
        <w:t>1.1条所述之</w:t>
      </w:r>
      <w:r>
        <w:rPr>
          <w:rFonts w:hint="eastAsia" w:ascii="仿宋" w:hAnsi="仿宋" w:eastAsia="仿宋"/>
          <w:sz w:val="28"/>
          <w:szCs w:val="28"/>
        </w:rPr>
        <w:t>建筑</w:t>
      </w:r>
      <w:r>
        <w:rPr>
          <w:rFonts w:ascii="仿宋" w:hAnsi="仿宋" w:eastAsia="仿宋"/>
          <w:sz w:val="28"/>
          <w:szCs w:val="28"/>
        </w:rPr>
        <w:t>面积</w:t>
      </w:r>
      <w:r>
        <w:rPr>
          <w:rFonts w:hint="eastAsia" w:ascii="仿宋" w:hAnsi="仿宋" w:eastAsia="仿宋"/>
          <w:sz w:val="28"/>
          <w:szCs w:val="28"/>
        </w:rPr>
        <w:t>计算租金，即使租赁物业平面图所标识的阴影区域的实际建筑面积与第</w:t>
      </w:r>
      <w:r>
        <w:rPr>
          <w:rFonts w:ascii="仿宋" w:hAnsi="仿宋" w:eastAsia="仿宋"/>
          <w:sz w:val="28"/>
          <w:szCs w:val="28"/>
        </w:rPr>
        <w:t>1.1条所述之</w:t>
      </w:r>
      <w:r>
        <w:rPr>
          <w:rFonts w:hint="eastAsia" w:ascii="仿宋" w:hAnsi="仿宋" w:eastAsia="仿宋"/>
          <w:sz w:val="28"/>
          <w:szCs w:val="28"/>
        </w:rPr>
        <w:t>建筑</w:t>
      </w:r>
      <w:r>
        <w:rPr>
          <w:rFonts w:ascii="仿宋" w:hAnsi="仿宋" w:eastAsia="仿宋"/>
          <w:sz w:val="28"/>
          <w:szCs w:val="28"/>
        </w:rPr>
        <w:t>面积存在差异，</w:t>
      </w:r>
      <w:r>
        <w:rPr>
          <w:rFonts w:hint="eastAsia" w:ascii="仿宋" w:hAnsi="仿宋" w:eastAsia="仿宋"/>
          <w:sz w:val="28"/>
          <w:szCs w:val="28"/>
        </w:rPr>
        <w:t>也不据此主张降低费用、迟延支付费用或不履行其在本合同项下其他义务。</w:t>
      </w:r>
    </w:p>
    <w:p>
      <w:pPr>
        <w:rPr>
          <w:rFonts w:ascii="仿宋" w:hAnsi="仿宋" w:eastAsia="仿宋"/>
          <w:b/>
          <w:sz w:val="28"/>
          <w:szCs w:val="28"/>
        </w:rPr>
      </w:pPr>
      <w:r>
        <w:rPr>
          <w:rFonts w:hint="eastAsia" w:ascii="仿宋" w:hAnsi="仿宋" w:eastAsia="仿宋"/>
          <w:b/>
          <w:sz w:val="28"/>
          <w:szCs w:val="28"/>
        </w:rPr>
        <w:t>第二</w:t>
      </w:r>
      <w:r>
        <w:rPr>
          <w:rFonts w:ascii="仿宋" w:hAnsi="仿宋" w:eastAsia="仿宋"/>
          <w:b/>
          <w:sz w:val="28"/>
          <w:szCs w:val="28"/>
        </w:rPr>
        <w:t>条租赁物业出租权限及状况申明</w:t>
      </w:r>
    </w:p>
    <w:p>
      <w:pPr>
        <w:ind w:firstLine="560"/>
        <w:rPr>
          <w:rFonts w:ascii="仿宋" w:hAnsi="仿宋" w:eastAsia="仿宋"/>
          <w:sz w:val="28"/>
          <w:szCs w:val="28"/>
        </w:rPr>
      </w:pPr>
      <w:r>
        <w:rPr>
          <w:rFonts w:ascii="仿宋" w:hAnsi="仿宋" w:eastAsia="仿宋"/>
          <w:sz w:val="28"/>
          <w:szCs w:val="28"/>
        </w:rPr>
        <w:t xml:space="preserve">2.1 </w:t>
      </w:r>
      <w:r>
        <w:rPr>
          <w:rFonts w:hint="eastAsia" w:ascii="仿宋" w:hAnsi="仿宋" w:eastAsia="仿宋"/>
          <w:sz w:val="28"/>
          <w:szCs w:val="28"/>
        </w:rPr>
        <w:t>甲方保证并声明，甲方合法拥有租赁物业的出租权，有权作为出租方向乙方出租租赁物业。</w:t>
      </w:r>
    </w:p>
    <w:p>
      <w:pPr>
        <w:rPr>
          <w:rFonts w:ascii="仿宋" w:hAnsi="仿宋" w:eastAsia="仿宋"/>
          <w:b/>
          <w:sz w:val="28"/>
          <w:szCs w:val="28"/>
        </w:rPr>
      </w:pPr>
      <w:r>
        <w:rPr>
          <w:rFonts w:hint="eastAsia" w:ascii="仿宋" w:hAnsi="仿宋" w:eastAsia="仿宋"/>
          <w:b/>
          <w:sz w:val="28"/>
          <w:szCs w:val="28"/>
        </w:rPr>
        <w:t>第三</w:t>
      </w:r>
      <w:r>
        <w:rPr>
          <w:rFonts w:ascii="仿宋" w:hAnsi="仿宋" w:eastAsia="仿宋"/>
          <w:b/>
          <w:sz w:val="28"/>
          <w:szCs w:val="28"/>
        </w:rPr>
        <w:t>条租赁物业的用途</w:t>
      </w:r>
    </w:p>
    <w:p>
      <w:pPr>
        <w:ind w:firstLine="560"/>
        <w:rPr>
          <w:rFonts w:ascii="仿宋" w:hAnsi="仿宋" w:eastAsia="仿宋"/>
          <w:sz w:val="28"/>
          <w:szCs w:val="28"/>
        </w:rPr>
      </w:pPr>
      <w:r>
        <w:rPr>
          <w:rFonts w:ascii="仿宋" w:hAnsi="仿宋" w:eastAsia="仿宋"/>
          <w:sz w:val="28"/>
          <w:szCs w:val="28"/>
        </w:rPr>
        <w:t xml:space="preserve">3.1  </w:t>
      </w:r>
      <w:r>
        <w:rPr>
          <w:rFonts w:hint="eastAsia" w:ascii="仿宋" w:hAnsi="仿宋" w:eastAsia="仿宋"/>
          <w:sz w:val="28"/>
          <w:szCs w:val="28"/>
        </w:rPr>
        <w:t>租赁物业的用途</w:t>
      </w:r>
      <w:r>
        <w:rPr>
          <w:rFonts w:hint="eastAsia" w:ascii="仿宋" w:hAnsi="仿宋" w:eastAsia="仿宋"/>
          <w:sz w:val="28"/>
          <w:szCs w:val="28"/>
          <w:u w:val="single"/>
        </w:rPr>
        <w:t>：主题性购物中心，包括零售、餐饮、娱乐、休闲</w:t>
      </w:r>
      <w:r>
        <w:rPr>
          <w:rFonts w:ascii="仿宋" w:hAnsi="仿宋" w:eastAsia="仿宋"/>
          <w:sz w:val="28"/>
          <w:szCs w:val="28"/>
        </w:rPr>
        <w:t>，乙方应严格遵循上述租赁用途的约定，如确需增加</w:t>
      </w:r>
      <w:r>
        <w:rPr>
          <w:rFonts w:hint="eastAsia" w:ascii="仿宋" w:hAnsi="仿宋" w:eastAsia="仿宋"/>
          <w:sz w:val="28"/>
          <w:szCs w:val="28"/>
        </w:rPr>
        <w:t>或变更</w:t>
      </w:r>
      <w:r>
        <w:rPr>
          <w:rFonts w:ascii="仿宋" w:hAnsi="仿宋" w:eastAsia="仿宋"/>
          <w:sz w:val="28"/>
          <w:szCs w:val="28"/>
        </w:rPr>
        <w:t>用途，应事先征得甲方书面同意，未经甲方事先书面许可，不得将租赁物业的全部或部分用于其他用途</w:t>
      </w:r>
      <w:r>
        <w:rPr>
          <w:rFonts w:hint="eastAsia" w:ascii="仿宋" w:hAnsi="仿宋" w:eastAsia="仿宋"/>
          <w:sz w:val="28"/>
          <w:szCs w:val="28"/>
        </w:rPr>
        <w:t>；否则，因此产生的法律责任、后果及损失全部由乙方承担。</w:t>
      </w:r>
    </w:p>
    <w:p>
      <w:pPr>
        <w:ind w:firstLine="560"/>
        <w:rPr>
          <w:rFonts w:ascii="仿宋" w:hAnsi="仿宋" w:eastAsia="仿宋"/>
          <w:sz w:val="28"/>
          <w:szCs w:val="28"/>
        </w:rPr>
      </w:pPr>
      <w:r>
        <w:rPr>
          <w:rFonts w:ascii="仿宋" w:hAnsi="仿宋" w:eastAsia="仿宋"/>
          <w:sz w:val="28"/>
          <w:szCs w:val="28"/>
        </w:rPr>
        <w:t>3.2</w:t>
      </w:r>
      <w:r>
        <w:rPr>
          <w:rFonts w:hint="eastAsia" w:ascii="仿宋" w:hAnsi="仿宋" w:eastAsia="仿宋"/>
          <w:sz w:val="28"/>
          <w:szCs w:val="28"/>
        </w:rPr>
        <w:t>乙方将租赁物业从事本合同第3.l条所述之用途时，所需重新办理或变更办理的相关政府许可手续(包括但不限于：规划许可、消防许可、环评许可、从事经营所需的营业证照等一切合法证件)，均由乙方自行负责，并自担费用，甲方应全力配合；乙方承诺不得以前述相关政府许可手续无法办理或者迟滞办理为由主张降低、迟延或拒绝支付租赁费用（包含租金及水电能耗费等）或不履行其在本合同项下的其他义务。</w:t>
      </w:r>
    </w:p>
    <w:p>
      <w:pPr>
        <w:rPr>
          <w:rFonts w:ascii="仿宋" w:hAnsi="仿宋" w:eastAsia="仿宋"/>
          <w:b/>
          <w:sz w:val="28"/>
          <w:szCs w:val="28"/>
        </w:rPr>
      </w:pPr>
      <w:r>
        <w:rPr>
          <w:rFonts w:hint="eastAsia" w:ascii="仿宋" w:hAnsi="仿宋" w:eastAsia="仿宋"/>
          <w:b/>
          <w:sz w:val="28"/>
          <w:szCs w:val="28"/>
        </w:rPr>
        <w:t>第四</w:t>
      </w:r>
      <w:r>
        <w:rPr>
          <w:rFonts w:ascii="仿宋" w:hAnsi="仿宋" w:eastAsia="仿宋"/>
          <w:b/>
          <w:sz w:val="28"/>
          <w:szCs w:val="28"/>
        </w:rPr>
        <w:t>条租赁物业的移交</w:t>
      </w:r>
    </w:p>
    <w:p>
      <w:pPr>
        <w:ind w:firstLine="560"/>
        <w:rPr>
          <w:rFonts w:ascii="仿宋" w:hAnsi="仿宋" w:eastAsia="仿宋"/>
          <w:sz w:val="28"/>
          <w:szCs w:val="28"/>
        </w:rPr>
      </w:pPr>
      <w:r>
        <w:rPr>
          <w:rFonts w:ascii="仿宋" w:hAnsi="仿宋" w:eastAsia="仿宋"/>
          <w:sz w:val="28"/>
          <w:szCs w:val="28"/>
        </w:rPr>
        <w:t xml:space="preserve">4.1  </w:t>
      </w:r>
      <w:r>
        <w:rPr>
          <w:rFonts w:hint="eastAsia" w:ascii="仿宋" w:hAnsi="仿宋" w:eastAsia="仿宋"/>
          <w:sz w:val="28"/>
          <w:szCs w:val="28"/>
        </w:rPr>
        <w:t>租赁物业的交付时间暂定为</w:t>
      </w:r>
      <w:r>
        <w:rPr>
          <w:rFonts w:hint="eastAsia" w:ascii="仿宋" w:hAnsi="仿宋" w:eastAsia="仿宋"/>
          <w:sz w:val="28"/>
          <w:szCs w:val="28"/>
          <w:u w:val="single"/>
        </w:rPr>
        <w:t>2020</w:t>
      </w:r>
      <w:r>
        <w:rPr>
          <w:rFonts w:hint="eastAsia" w:ascii="仿宋" w:hAnsi="仿宋" w:eastAsia="仿宋"/>
          <w:sz w:val="28"/>
          <w:szCs w:val="28"/>
        </w:rPr>
        <w:t>年</w:t>
      </w:r>
      <w:r>
        <w:rPr>
          <w:rFonts w:hint="eastAsia" w:ascii="仿宋" w:hAnsi="仿宋" w:eastAsia="仿宋"/>
          <w:sz w:val="28"/>
          <w:szCs w:val="28"/>
          <w:u w:val="single"/>
        </w:rPr>
        <w:t xml:space="preserve">6 </w:t>
      </w:r>
      <w:r>
        <w:rPr>
          <w:rFonts w:hint="eastAsia" w:ascii="仿宋" w:hAnsi="仿宋" w:eastAsia="仿宋"/>
          <w:sz w:val="28"/>
          <w:szCs w:val="28"/>
        </w:rPr>
        <w:t>月</w:t>
      </w:r>
      <w:r>
        <w:rPr>
          <w:rFonts w:hint="eastAsia" w:ascii="仿宋" w:hAnsi="仿宋" w:eastAsia="仿宋"/>
          <w:sz w:val="28"/>
          <w:szCs w:val="28"/>
          <w:u w:val="single"/>
        </w:rPr>
        <w:t xml:space="preserve">1 </w:t>
      </w:r>
      <w:r>
        <w:rPr>
          <w:rFonts w:hint="eastAsia" w:ascii="仿宋" w:hAnsi="仿宋" w:eastAsia="仿宋"/>
          <w:sz w:val="28"/>
          <w:szCs w:val="28"/>
        </w:rPr>
        <w:t>日，若无法如期交付则交付时间顺延，最终交付时间以甲方实际交付为准且甲方不承担因延迟交付而造成的一切责任。</w:t>
      </w:r>
    </w:p>
    <w:p>
      <w:pPr>
        <w:ind w:firstLine="56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2租赁物业的移交为现状移交，乙方确认在本合同签署前已通过各种方式详细了解租赁物业各方面的状况，对于租赁物业的现状</w:t>
      </w:r>
      <w:r>
        <w:rPr>
          <w:rFonts w:ascii="仿宋" w:hAnsi="仿宋" w:eastAsia="仿宋"/>
          <w:sz w:val="28"/>
          <w:szCs w:val="28"/>
        </w:rPr>
        <w:t>(包括但不限于：租赁物业</w:t>
      </w:r>
      <w:r>
        <w:rPr>
          <w:rFonts w:hint="eastAsia" w:ascii="仿宋" w:hAnsi="仿宋" w:eastAsia="仿宋"/>
          <w:sz w:val="28"/>
          <w:szCs w:val="28"/>
        </w:rPr>
        <w:t>本身的自然物理状况，租赁物业内的附属物、添附物、公用设施、配套设施的状况，租赁物业的周边环境及相邻物业的情况，租赁物业的法律状况等</w:t>
      </w:r>
      <w:r>
        <w:rPr>
          <w:rFonts w:ascii="仿宋" w:hAnsi="仿宋" w:eastAsia="仿宋"/>
          <w:sz w:val="28"/>
          <w:szCs w:val="28"/>
        </w:rPr>
        <w:t>)无异议。</w:t>
      </w:r>
    </w:p>
    <w:p>
      <w:pPr>
        <w:ind w:firstLine="56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3乙方申明：乙方完全认可以上移交方式。在</w:t>
      </w:r>
      <w:r>
        <w:rPr>
          <w:rFonts w:ascii="仿宋" w:hAnsi="仿宋" w:eastAsia="仿宋"/>
          <w:sz w:val="28"/>
          <w:szCs w:val="28"/>
        </w:rPr>
        <w:t>移交后，乙方不得以任何理由声称甲方未向其移交租赁物业、或拒绝支付费用、或拒绝履行本合同项下的任何义务。</w:t>
      </w:r>
    </w:p>
    <w:p>
      <w:pPr>
        <w:ind w:firstLine="56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4在租赁物业</w:t>
      </w:r>
      <w:r>
        <w:rPr>
          <w:rFonts w:ascii="仿宋" w:hAnsi="仿宋" w:eastAsia="仿宋"/>
          <w:sz w:val="28"/>
          <w:szCs w:val="28"/>
        </w:rPr>
        <w:t>移交后，至乙方依本合同约定向甲方交还租赁物业前，租赁物业发生的一切意外风险概由乙方承担。</w:t>
      </w:r>
    </w:p>
    <w:p>
      <w:pPr>
        <w:rPr>
          <w:rFonts w:ascii="仿宋" w:hAnsi="仿宋" w:eastAsia="仿宋"/>
          <w:sz w:val="28"/>
          <w:szCs w:val="28"/>
        </w:rPr>
      </w:pPr>
      <w:r>
        <w:rPr>
          <w:rFonts w:hint="eastAsia" w:ascii="仿宋" w:hAnsi="仿宋" w:eastAsia="仿宋"/>
          <w:b/>
          <w:sz w:val="28"/>
          <w:szCs w:val="28"/>
        </w:rPr>
        <w:t>第五</w:t>
      </w:r>
      <w:r>
        <w:rPr>
          <w:rFonts w:ascii="仿宋" w:hAnsi="仿宋" w:eastAsia="仿宋"/>
          <w:b/>
          <w:sz w:val="28"/>
          <w:szCs w:val="28"/>
        </w:rPr>
        <w:t>条租赁期限</w:t>
      </w:r>
    </w:p>
    <w:p>
      <w:pPr>
        <w:ind w:firstLine="560"/>
        <w:rPr>
          <w:rFonts w:ascii="仿宋" w:hAnsi="仿宋" w:eastAsia="仿宋"/>
          <w:sz w:val="28"/>
          <w:szCs w:val="28"/>
        </w:rPr>
      </w:pPr>
      <w:r>
        <w:rPr>
          <w:rFonts w:ascii="仿宋" w:hAnsi="仿宋" w:eastAsia="仿宋"/>
          <w:sz w:val="28"/>
          <w:szCs w:val="28"/>
        </w:rPr>
        <w:t xml:space="preserve">5.1  </w:t>
      </w:r>
      <w:r>
        <w:rPr>
          <w:rFonts w:hint="eastAsia" w:ascii="仿宋" w:hAnsi="仿宋" w:eastAsia="仿宋"/>
          <w:sz w:val="28"/>
          <w:szCs w:val="28"/>
        </w:rPr>
        <w:t>租赁期限:</w:t>
      </w:r>
      <w:r>
        <w:rPr>
          <w:rFonts w:ascii="仿宋" w:hAnsi="仿宋" w:eastAsia="仿宋"/>
          <w:sz w:val="28"/>
          <w:szCs w:val="28"/>
        </w:rPr>
        <w:t>自</w:t>
      </w:r>
      <w:r>
        <w:rPr>
          <w:rFonts w:hint="eastAsia" w:ascii="仿宋" w:hAnsi="仿宋" w:eastAsia="仿宋"/>
          <w:sz w:val="28"/>
          <w:szCs w:val="28"/>
          <w:u w:val="single"/>
        </w:rPr>
        <w:t>2020</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2036</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日止（若甲方推迟交付，则该期限自实际交付日起算）。</w:t>
      </w:r>
    </w:p>
    <w:p>
      <w:pPr>
        <w:ind w:firstLine="560"/>
        <w:rPr>
          <w:rFonts w:ascii="仿宋" w:hAnsi="仿宋" w:eastAsia="仿宋"/>
          <w:sz w:val="28"/>
          <w:szCs w:val="28"/>
        </w:rPr>
      </w:pPr>
      <w:r>
        <w:rPr>
          <w:rFonts w:hint="eastAsia" w:ascii="仿宋" w:hAnsi="仿宋" w:eastAsia="仿宋"/>
          <w:sz w:val="28"/>
          <w:szCs w:val="28"/>
        </w:rPr>
        <w:t>5.2商业培育期分两次：</w:t>
      </w:r>
    </w:p>
    <w:p>
      <w:pPr>
        <w:ind w:firstLine="560"/>
        <w:rPr>
          <w:rFonts w:ascii="仿宋" w:hAnsi="仿宋" w:eastAsia="仿宋"/>
          <w:sz w:val="28"/>
          <w:szCs w:val="28"/>
        </w:rPr>
      </w:pPr>
      <w:r>
        <w:rPr>
          <w:rFonts w:hint="eastAsia" w:ascii="仿宋" w:hAnsi="仿宋" w:eastAsia="仿宋"/>
          <w:sz w:val="28"/>
          <w:szCs w:val="28"/>
        </w:rPr>
        <w:t>第一次从</w:t>
      </w:r>
      <w:r>
        <w:rPr>
          <w:rFonts w:hint="eastAsia" w:ascii="仿宋" w:hAnsi="仿宋" w:eastAsia="仿宋"/>
          <w:sz w:val="28"/>
          <w:szCs w:val="28"/>
          <w:u w:val="single"/>
        </w:rPr>
        <w:t>2020</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 xml:space="preserve"> 月</w:t>
      </w:r>
      <w:r>
        <w:rPr>
          <w:rFonts w:hint="eastAsia" w:ascii="仿宋" w:hAnsi="仿宋" w:eastAsia="仿宋"/>
          <w:sz w:val="28"/>
          <w:szCs w:val="28"/>
          <w:u w:val="single"/>
        </w:rPr>
        <w:t xml:space="preserve"> </w:t>
      </w:r>
      <w:r>
        <w:rPr>
          <w:rFonts w:hint="eastAsia" w:ascii="仿宋" w:hAnsi="仿宋" w:eastAsia="仿宋"/>
          <w:sz w:val="28"/>
          <w:szCs w:val="28"/>
        </w:rPr>
        <w:t xml:space="preserve"> 日起至</w:t>
      </w:r>
      <w:r>
        <w:rPr>
          <w:rFonts w:hint="eastAsia" w:ascii="仿宋" w:hAnsi="仿宋" w:eastAsia="仿宋"/>
          <w:sz w:val="28"/>
          <w:szCs w:val="28"/>
          <w:u w:val="single"/>
        </w:rPr>
        <w:t>2021</w:t>
      </w:r>
      <w:r>
        <w:rPr>
          <w:rFonts w:hint="eastAsia" w:ascii="仿宋" w:hAnsi="仿宋" w:eastAsia="仿宋"/>
          <w:sz w:val="28"/>
          <w:szCs w:val="28"/>
        </w:rPr>
        <w:t xml:space="preserve"> 年</w:t>
      </w:r>
      <w:r>
        <w:rPr>
          <w:rFonts w:hint="eastAsia" w:ascii="仿宋" w:hAnsi="仿宋" w:eastAsia="仿宋"/>
          <w:sz w:val="28"/>
          <w:szCs w:val="28"/>
          <w:u w:val="single"/>
        </w:rPr>
        <w:t xml:space="preserve"> </w:t>
      </w:r>
      <w:r>
        <w:rPr>
          <w:rFonts w:hint="eastAsia" w:ascii="仿宋" w:hAnsi="仿宋" w:eastAsia="仿宋"/>
          <w:sz w:val="28"/>
          <w:szCs w:val="28"/>
        </w:rPr>
        <w:t xml:space="preserve"> 月</w:t>
      </w:r>
      <w:r>
        <w:rPr>
          <w:rFonts w:hint="eastAsia" w:ascii="仿宋" w:hAnsi="仿宋" w:eastAsia="仿宋"/>
          <w:sz w:val="28"/>
          <w:szCs w:val="28"/>
          <w:u w:val="single"/>
        </w:rPr>
        <w:t xml:space="preserve"> </w:t>
      </w:r>
      <w:r>
        <w:rPr>
          <w:rFonts w:hint="eastAsia" w:ascii="仿宋" w:hAnsi="仿宋" w:eastAsia="仿宋"/>
          <w:sz w:val="28"/>
          <w:szCs w:val="28"/>
        </w:rPr>
        <w:t>日止（若甲方推迟交付，则该期限自实际交付日起算），商业培育期内乙方应向甲方支付租金共计</w:t>
      </w:r>
      <w:r>
        <w:rPr>
          <w:rFonts w:hint="eastAsia" w:ascii="仿宋" w:hAnsi="仿宋" w:eastAsia="仿宋"/>
          <w:sz w:val="28"/>
          <w:szCs w:val="28"/>
          <w:u w:val="single"/>
        </w:rPr>
        <w:t xml:space="preserve"> </w:t>
      </w:r>
      <w:r>
        <w:rPr>
          <w:rFonts w:hint="eastAsia" w:ascii="仿宋" w:hAnsi="仿宋" w:eastAsia="仿宋"/>
          <w:sz w:val="28"/>
          <w:szCs w:val="28"/>
        </w:rPr>
        <w:t>元;</w:t>
      </w:r>
    </w:p>
    <w:p>
      <w:pPr>
        <w:ind w:firstLine="560"/>
        <w:rPr>
          <w:rFonts w:ascii="仿宋" w:hAnsi="仿宋" w:eastAsia="仿宋"/>
          <w:sz w:val="28"/>
          <w:szCs w:val="28"/>
          <w:u w:val="single"/>
        </w:rPr>
      </w:pPr>
      <w:r>
        <w:rPr>
          <w:rFonts w:hint="eastAsia" w:ascii="仿宋" w:hAnsi="仿宋" w:eastAsia="仿宋"/>
          <w:sz w:val="28"/>
          <w:szCs w:val="28"/>
        </w:rPr>
        <w:t>第二次从</w:t>
      </w:r>
      <w:r>
        <w:rPr>
          <w:rFonts w:hint="eastAsia" w:ascii="仿宋" w:hAnsi="仿宋" w:eastAsia="仿宋"/>
          <w:sz w:val="28"/>
          <w:szCs w:val="28"/>
          <w:u w:val="single"/>
        </w:rPr>
        <w:t>2021</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 xml:space="preserve"> 月</w:t>
      </w:r>
      <w:r>
        <w:rPr>
          <w:rFonts w:hint="eastAsia" w:ascii="仿宋" w:hAnsi="仿宋" w:eastAsia="仿宋"/>
          <w:sz w:val="28"/>
          <w:szCs w:val="28"/>
          <w:u w:val="single"/>
        </w:rPr>
        <w:t xml:space="preserve"> </w:t>
      </w:r>
      <w:r>
        <w:rPr>
          <w:rFonts w:hint="eastAsia" w:ascii="仿宋" w:hAnsi="仿宋" w:eastAsia="仿宋"/>
          <w:sz w:val="28"/>
          <w:szCs w:val="28"/>
        </w:rPr>
        <w:t xml:space="preserve"> 日起至</w:t>
      </w:r>
      <w:r>
        <w:rPr>
          <w:rFonts w:hint="eastAsia" w:ascii="仿宋" w:hAnsi="仿宋" w:eastAsia="仿宋"/>
          <w:sz w:val="28"/>
          <w:szCs w:val="28"/>
          <w:u w:val="single"/>
        </w:rPr>
        <w:t>2022</w:t>
      </w:r>
      <w:r>
        <w:rPr>
          <w:rFonts w:hint="eastAsia" w:ascii="仿宋" w:hAnsi="仿宋" w:eastAsia="仿宋"/>
          <w:sz w:val="28"/>
          <w:szCs w:val="28"/>
        </w:rPr>
        <w:t xml:space="preserve"> 年</w:t>
      </w:r>
      <w:r>
        <w:rPr>
          <w:rFonts w:hint="eastAsia" w:ascii="仿宋" w:hAnsi="仿宋" w:eastAsia="仿宋"/>
          <w:sz w:val="28"/>
          <w:szCs w:val="28"/>
          <w:u w:val="single"/>
        </w:rPr>
        <w:t xml:space="preserve"> </w:t>
      </w:r>
      <w:r>
        <w:rPr>
          <w:rFonts w:hint="eastAsia" w:ascii="仿宋" w:hAnsi="仿宋" w:eastAsia="仿宋"/>
          <w:sz w:val="28"/>
          <w:szCs w:val="28"/>
        </w:rPr>
        <w:t xml:space="preserve"> 月</w:t>
      </w:r>
      <w:r>
        <w:rPr>
          <w:rFonts w:hint="eastAsia" w:ascii="仿宋" w:hAnsi="仿宋" w:eastAsia="仿宋"/>
          <w:sz w:val="28"/>
          <w:szCs w:val="28"/>
          <w:u w:val="single"/>
        </w:rPr>
        <w:t xml:space="preserve"> </w:t>
      </w:r>
      <w:r>
        <w:rPr>
          <w:rFonts w:hint="eastAsia" w:ascii="仿宋" w:hAnsi="仿宋" w:eastAsia="仿宋"/>
          <w:sz w:val="28"/>
          <w:szCs w:val="28"/>
        </w:rPr>
        <w:t xml:space="preserve"> 日止（若甲方推迟交付，则该期限自实际交付日起算），商业培育期内乙方应向甲方支付租金共计</w:t>
      </w:r>
      <w:r>
        <w:rPr>
          <w:rFonts w:hint="eastAsia" w:ascii="仿宋" w:hAnsi="仿宋" w:eastAsia="仿宋"/>
          <w:sz w:val="28"/>
          <w:szCs w:val="28"/>
          <w:u w:val="single"/>
        </w:rPr>
        <w:t xml:space="preserve"> </w:t>
      </w:r>
      <w:r>
        <w:rPr>
          <w:rFonts w:hint="eastAsia" w:ascii="仿宋" w:hAnsi="仿宋" w:eastAsia="仿宋"/>
          <w:sz w:val="28"/>
          <w:szCs w:val="28"/>
        </w:rPr>
        <w:t>元;并另行支付水电费、燃气费等其他经营性费用。商业培育期届满后，乙方的租金按6.1条约定标准缴纳。</w:t>
      </w:r>
    </w:p>
    <w:p>
      <w:pPr>
        <w:ind w:firstLine="56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3本合同项下的租赁期限届满前，如乙方有意续租，应至少在租赁期满日三个月前以书面方式通知甲方。经双方协商一致，另行签订租赁合同。</w:t>
      </w:r>
    </w:p>
    <w:p>
      <w:pPr>
        <w:rPr>
          <w:rFonts w:ascii="仿宋" w:hAnsi="仿宋" w:eastAsia="仿宋"/>
          <w:b/>
          <w:sz w:val="28"/>
          <w:szCs w:val="28"/>
        </w:rPr>
      </w:pPr>
      <w:r>
        <w:rPr>
          <w:rFonts w:hint="eastAsia" w:ascii="仿宋" w:hAnsi="仿宋" w:eastAsia="仿宋"/>
          <w:b/>
          <w:sz w:val="28"/>
          <w:szCs w:val="28"/>
        </w:rPr>
        <w:t>第六</w:t>
      </w:r>
      <w:r>
        <w:rPr>
          <w:rFonts w:ascii="仿宋" w:hAnsi="仿宋" w:eastAsia="仿宋"/>
          <w:b/>
          <w:sz w:val="28"/>
          <w:szCs w:val="28"/>
        </w:rPr>
        <w:t>条</w:t>
      </w:r>
      <w:r>
        <w:rPr>
          <w:rFonts w:hint="eastAsia" w:ascii="仿宋" w:hAnsi="仿宋" w:eastAsia="仿宋"/>
          <w:b/>
          <w:sz w:val="28"/>
          <w:szCs w:val="28"/>
        </w:rPr>
        <w:t xml:space="preserve">  租金标准及支付方式</w:t>
      </w:r>
    </w:p>
    <w:p>
      <w:pPr>
        <w:ind w:firstLine="560" w:firstLineChars="200"/>
        <w:rPr>
          <w:rFonts w:ascii="仿宋" w:hAnsi="仿宋" w:eastAsia="仿宋"/>
          <w:sz w:val="28"/>
          <w:szCs w:val="28"/>
          <w:u w:val="single"/>
        </w:rPr>
      </w:pPr>
      <w:r>
        <w:rPr>
          <w:rFonts w:hint="eastAsia" w:ascii="仿宋" w:hAnsi="仿宋" w:eastAsia="仿宋"/>
          <w:sz w:val="28"/>
          <w:szCs w:val="28"/>
        </w:rPr>
        <w:t>6.1租金中已包含：场地租金、基础物业费、空调费、税费、红线内的外场和建筑外墙广告活动权益费；租金标准：前三年为</w:t>
      </w:r>
      <w:r>
        <w:rPr>
          <w:rFonts w:hint="eastAsia" w:ascii="仿宋" w:hAnsi="仿宋" w:eastAsia="仿宋"/>
          <w:sz w:val="28"/>
          <w:szCs w:val="28"/>
          <w:u w:val="single"/>
        </w:rPr>
        <w:t xml:space="preserve">    </w:t>
      </w:r>
      <w:r>
        <w:rPr>
          <w:rFonts w:hint="eastAsia" w:ascii="仿宋" w:hAnsi="仿宋" w:eastAsia="仿宋"/>
          <w:sz w:val="28"/>
          <w:szCs w:val="28"/>
        </w:rPr>
        <w:t>元/月/平方米，并给予经营免租期12个月，按两年分摊，经营免租期内不需要承担租赁费用，但仍需承担8元/月/平方米的空调能耗费（本合同下文所指“租金”均为本条本款中已包含的所有费用）；</w:t>
      </w:r>
    </w:p>
    <w:p>
      <w:pPr>
        <w:rPr>
          <w:rFonts w:ascii="仿宋" w:hAnsi="仿宋" w:eastAsia="仿宋"/>
          <w:sz w:val="28"/>
          <w:szCs w:val="28"/>
          <w:u w:val="single"/>
        </w:rPr>
      </w:pPr>
      <w:r>
        <w:rPr>
          <w:rFonts w:hint="eastAsia" w:ascii="仿宋" w:hAnsi="仿宋" w:eastAsia="仿宋"/>
          <w:sz w:val="28"/>
          <w:szCs w:val="28"/>
        </w:rPr>
        <w:t xml:space="preserve">    递增率：前三年不递增，第四年递增5%，第四年（含）开始每两年递增5%。</w:t>
      </w:r>
    </w:p>
    <w:p>
      <w:pPr>
        <w:pStyle w:val="51"/>
        <w:ind w:firstLine="560"/>
        <w:rPr>
          <w:rFonts w:ascii="仿宋" w:hAnsi="仿宋" w:eastAsia="仿宋"/>
          <w:sz w:val="28"/>
          <w:szCs w:val="28"/>
        </w:rPr>
      </w:pPr>
      <w:r>
        <w:rPr>
          <w:rFonts w:hint="eastAsia" w:ascii="仿宋" w:hAnsi="仿宋" w:eastAsia="仿宋"/>
          <w:sz w:val="28"/>
          <w:szCs w:val="28"/>
        </w:rPr>
        <w:t>合同期内租金金额如下：</w:t>
      </w:r>
    </w:p>
    <w:tbl>
      <w:tblPr>
        <w:tblStyle w:val="3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7"/>
        <w:gridCol w:w="2276"/>
        <w:gridCol w:w="212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2827" w:type="dxa"/>
          </w:tcPr>
          <w:p>
            <w:pPr>
              <w:pStyle w:val="51"/>
              <w:ind w:firstLine="0" w:firstLineChars="0"/>
              <w:jc w:val="center"/>
              <w:rPr>
                <w:rFonts w:ascii="仿宋" w:hAnsi="仿宋" w:eastAsia="仿宋"/>
                <w:sz w:val="28"/>
                <w:szCs w:val="28"/>
              </w:rPr>
            </w:pPr>
            <w:r>
              <w:rPr>
                <w:rFonts w:hint="eastAsia" w:ascii="仿宋" w:hAnsi="仿宋" w:eastAsia="仿宋"/>
                <w:sz w:val="28"/>
                <w:szCs w:val="28"/>
              </w:rPr>
              <w:t>时间</w:t>
            </w:r>
          </w:p>
        </w:tc>
        <w:tc>
          <w:tcPr>
            <w:tcW w:w="2276" w:type="dxa"/>
          </w:tcPr>
          <w:p>
            <w:pPr>
              <w:pStyle w:val="51"/>
              <w:spacing w:line="360" w:lineRule="exact"/>
              <w:ind w:firstLine="0" w:firstLineChars="0"/>
              <w:jc w:val="center"/>
              <w:rPr>
                <w:rFonts w:ascii="仿宋" w:hAnsi="仿宋" w:eastAsia="仿宋"/>
                <w:sz w:val="28"/>
                <w:szCs w:val="28"/>
              </w:rPr>
            </w:pPr>
            <w:r>
              <w:rPr>
                <w:rFonts w:hint="eastAsia" w:ascii="仿宋" w:hAnsi="仿宋" w:eastAsia="仿宋"/>
                <w:sz w:val="28"/>
                <w:szCs w:val="28"/>
              </w:rPr>
              <w:t>租期内总租金</w:t>
            </w:r>
          </w:p>
          <w:p>
            <w:pPr>
              <w:pStyle w:val="51"/>
              <w:spacing w:line="360" w:lineRule="exact"/>
              <w:ind w:firstLine="0" w:firstLineChars="0"/>
              <w:jc w:val="center"/>
              <w:rPr>
                <w:rFonts w:ascii="仿宋" w:hAnsi="仿宋" w:eastAsia="仿宋"/>
                <w:sz w:val="28"/>
                <w:szCs w:val="28"/>
              </w:rPr>
            </w:pPr>
            <w:r>
              <w:rPr>
                <w:rFonts w:hint="eastAsia" w:ascii="仿宋" w:hAnsi="仿宋" w:eastAsia="仿宋"/>
                <w:sz w:val="28"/>
                <w:szCs w:val="28"/>
              </w:rPr>
              <w:t>（人民币/元）</w:t>
            </w:r>
          </w:p>
        </w:tc>
        <w:tc>
          <w:tcPr>
            <w:tcW w:w="2127" w:type="dxa"/>
          </w:tcPr>
          <w:p>
            <w:pPr>
              <w:pStyle w:val="51"/>
              <w:spacing w:line="360" w:lineRule="exact"/>
              <w:ind w:firstLine="0" w:firstLineChars="0"/>
              <w:jc w:val="center"/>
              <w:rPr>
                <w:rFonts w:ascii="仿宋" w:hAnsi="仿宋" w:eastAsia="仿宋"/>
                <w:sz w:val="28"/>
                <w:szCs w:val="28"/>
              </w:rPr>
            </w:pPr>
            <w:r>
              <w:rPr>
                <w:rFonts w:hint="eastAsia" w:ascii="仿宋" w:hAnsi="仿宋" w:eastAsia="仿宋"/>
                <w:sz w:val="28"/>
                <w:szCs w:val="28"/>
              </w:rPr>
              <w:t>季度租金</w:t>
            </w:r>
          </w:p>
          <w:p>
            <w:pPr>
              <w:pStyle w:val="51"/>
              <w:spacing w:line="360" w:lineRule="exact"/>
              <w:ind w:firstLine="0" w:firstLineChars="0"/>
              <w:jc w:val="center"/>
              <w:rPr>
                <w:rFonts w:ascii="仿宋" w:hAnsi="仿宋" w:eastAsia="仿宋"/>
                <w:sz w:val="28"/>
                <w:szCs w:val="28"/>
              </w:rPr>
            </w:pPr>
            <w:r>
              <w:rPr>
                <w:rFonts w:hint="eastAsia" w:ascii="仿宋" w:hAnsi="仿宋" w:eastAsia="仿宋"/>
                <w:sz w:val="28"/>
                <w:szCs w:val="28"/>
              </w:rPr>
              <w:t>（人民币/元）</w:t>
            </w:r>
          </w:p>
        </w:tc>
        <w:tc>
          <w:tcPr>
            <w:tcW w:w="1701" w:type="dxa"/>
          </w:tcPr>
          <w:p>
            <w:pPr>
              <w:pStyle w:val="51"/>
              <w:spacing w:line="360" w:lineRule="exact"/>
              <w:ind w:firstLine="0" w:firstLineChars="0"/>
              <w:jc w:val="center"/>
              <w:rPr>
                <w:rFonts w:ascii="仿宋" w:hAnsi="仿宋" w:eastAsia="仿宋"/>
                <w:sz w:val="28"/>
                <w:szCs w:val="28"/>
              </w:rPr>
            </w:pPr>
            <w:r>
              <w:rPr>
                <w:rFonts w:hint="eastAsia" w:ascii="仿宋" w:hAnsi="仿宋" w:eastAsia="仿宋"/>
                <w:sz w:val="28"/>
                <w:szCs w:val="28"/>
              </w:rPr>
              <w:t>年递增率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27" w:type="dxa"/>
          </w:tcPr>
          <w:p>
            <w:pPr>
              <w:pStyle w:val="51"/>
              <w:spacing w:line="440" w:lineRule="exact"/>
              <w:ind w:firstLine="0" w:firstLineChars="0"/>
              <w:rPr>
                <w:rFonts w:ascii="仿宋" w:hAnsi="仿宋" w:eastAsia="仿宋"/>
                <w:sz w:val="28"/>
                <w:szCs w:val="28"/>
              </w:rPr>
            </w:pPr>
            <w:r>
              <w:rPr>
                <w:rFonts w:hint="eastAsia" w:ascii="仿宋" w:hAnsi="仿宋" w:eastAsia="仿宋"/>
                <w:sz w:val="28"/>
                <w:szCs w:val="28"/>
              </w:rPr>
              <w:t>（商业培育期）</w:t>
            </w:r>
          </w:p>
        </w:tc>
        <w:tc>
          <w:tcPr>
            <w:tcW w:w="2276" w:type="dxa"/>
            <w:vAlign w:val="center"/>
          </w:tcPr>
          <w:p>
            <w:pPr>
              <w:widowControl/>
              <w:ind w:firstLine="560"/>
              <w:textAlignment w:val="center"/>
              <w:rPr>
                <w:rFonts w:ascii="仿宋" w:hAnsi="仿宋" w:eastAsia="仿宋"/>
                <w:sz w:val="28"/>
                <w:szCs w:val="28"/>
              </w:rPr>
            </w:pPr>
          </w:p>
        </w:tc>
        <w:tc>
          <w:tcPr>
            <w:tcW w:w="2127" w:type="dxa"/>
            <w:vAlign w:val="center"/>
          </w:tcPr>
          <w:p>
            <w:pPr>
              <w:widowControl/>
              <w:ind w:firstLine="560"/>
              <w:jc w:val="right"/>
              <w:textAlignment w:val="center"/>
              <w:rPr>
                <w:rFonts w:ascii="仿宋" w:hAnsi="仿宋" w:eastAsia="仿宋"/>
                <w:sz w:val="28"/>
                <w:szCs w:val="28"/>
              </w:rPr>
            </w:pPr>
          </w:p>
        </w:tc>
        <w:tc>
          <w:tcPr>
            <w:tcW w:w="1701" w:type="dxa"/>
          </w:tcPr>
          <w:p>
            <w:pPr>
              <w:pStyle w:val="51"/>
              <w:ind w:firstLine="0" w:firstLineChars="0"/>
              <w:jc w:val="center"/>
              <w:rPr>
                <w:rFonts w:ascii="仿宋" w:hAnsi="仿宋" w:eastAsia="仿宋"/>
                <w:sz w:val="28"/>
                <w:szCs w:val="28"/>
              </w:rPr>
            </w:pP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27" w:type="dxa"/>
          </w:tcPr>
          <w:p>
            <w:pPr>
              <w:pStyle w:val="51"/>
              <w:spacing w:line="440" w:lineRule="exact"/>
              <w:ind w:firstLine="0" w:firstLineChars="0"/>
              <w:rPr>
                <w:rFonts w:ascii="仿宋" w:hAnsi="仿宋" w:eastAsia="仿宋"/>
                <w:sz w:val="28"/>
                <w:szCs w:val="28"/>
              </w:rPr>
            </w:pPr>
            <w:r>
              <w:rPr>
                <w:rFonts w:hint="eastAsia" w:ascii="仿宋" w:hAnsi="仿宋" w:eastAsia="仿宋"/>
                <w:sz w:val="28"/>
                <w:szCs w:val="28"/>
              </w:rPr>
              <w:t>（商业培育期）</w:t>
            </w:r>
          </w:p>
        </w:tc>
        <w:tc>
          <w:tcPr>
            <w:tcW w:w="2276" w:type="dxa"/>
            <w:vAlign w:val="center"/>
          </w:tcPr>
          <w:p>
            <w:pPr>
              <w:widowControl/>
              <w:ind w:firstLine="560"/>
              <w:textAlignment w:val="center"/>
              <w:rPr>
                <w:rFonts w:ascii="仿宋" w:hAnsi="仿宋" w:eastAsia="仿宋"/>
                <w:sz w:val="28"/>
                <w:szCs w:val="28"/>
              </w:rPr>
            </w:pPr>
          </w:p>
        </w:tc>
        <w:tc>
          <w:tcPr>
            <w:tcW w:w="2127" w:type="dxa"/>
            <w:vAlign w:val="center"/>
          </w:tcPr>
          <w:p>
            <w:pPr>
              <w:widowControl/>
              <w:ind w:firstLine="560"/>
              <w:jc w:val="right"/>
              <w:textAlignment w:val="center"/>
              <w:rPr>
                <w:rFonts w:ascii="仿宋" w:hAnsi="仿宋" w:eastAsia="仿宋"/>
                <w:sz w:val="28"/>
                <w:szCs w:val="28"/>
              </w:rPr>
            </w:pPr>
          </w:p>
        </w:tc>
        <w:tc>
          <w:tcPr>
            <w:tcW w:w="1701" w:type="dxa"/>
          </w:tcPr>
          <w:p>
            <w:pPr>
              <w:pStyle w:val="51"/>
              <w:ind w:firstLine="0" w:firstLineChars="0"/>
              <w:jc w:val="center"/>
              <w:rPr>
                <w:rFonts w:ascii="仿宋" w:hAnsi="仿宋" w:eastAsia="仿宋"/>
                <w:sz w:val="28"/>
                <w:szCs w:val="28"/>
              </w:rPr>
            </w:pP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27" w:type="dxa"/>
          </w:tcPr>
          <w:p>
            <w:pPr>
              <w:pStyle w:val="51"/>
              <w:spacing w:line="440" w:lineRule="exact"/>
              <w:ind w:firstLine="0" w:firstLineChars="0"/>
              <w:rPr>
                <w:rFonts w:ascii="仿宋" w:hAnsi="仿宋" w:eastAsia="仿宋"/>
                <w:sz w:val="28"/>
                <w:szCs w:val="28"/>
              </w:rPr>
            </w:pPr>
          </w:p>
        </w:tc>
        <w:tc>
          <w:tcPr>
            <w:tcW w:w="2276" w:type="dxa"/>
            <w:vAlign w:val="center"/>
          </w:tcPr>
          <w:p>
            <w:pPr>
              <w:widowControl/>
              <w:ind w:firstLine="560"/>
              <w:textAlignment w:val="center"/>
              <w:rPr>
                <w:rFonts w:ascii="仿宋" w:hAnsi="仿宋" w:eastAsia="仿宋"/>
                <w:sz w:val="28"/>
                <w:szCs w:val="28"/>
              </w:rPr>
            </w:pPr>
          </w:p>
        </w:tc>
        <w:tc>
          <w:tcPr>
            <w:tcW w:w="2127" w:type="dxa"/>
            <w:vAlign w:val="center"/>
          </w:tcPr>
          <w:p>
            <w:pPr>
              <w:widowControl/>
              <w:ind w:firstLine="560"/>
              <w:jc w:val="right"/>
              <w:textAlignment w:val="center"/>
              <w:rPr>
                <w:rFonts w:ascii="仿宋" w:hAnsi="仿宋" w:eastAsia="仿宋"/>
                <w:sz w:val="28"/>
                <w:szCs w:val="28"/>
              </w:rPr>
            </w:pPr>
          </w:p>
        </w:tc>
        <w:tc>
          <w:tcPr>
            <w:tcW w:w="1701" w:type="dxa"/>
          </w:tcPr>
          <w:p>
            <w:pPr>
              <w:pStyle w:val="51"/>
              <w:ind w:firstLine="0" w:firstLineChars="0"/>
              <w:jc w:val="center"/>
              <w:rPr>
                <w:rFonts w:ascii="仿宋" w:hAnsi="仿宋" w:eastAsia="仿宋"/>
                <w:sz w:val="28"/>
                <w:szCs w:val="28"/>
              </w:rPr>
            </w:pPr>
          </w:p>
        </w:tc>
      </w:tr>
    </w:tbl>
    <w:p>
      <w:pPr>
        <w:ind w:firstLine="560"/>
        <w:rPr>
          <w:rFonts w:ascii="仿宋" w:hAnsi="仿宋" w:eastAsia="仿宋"/>
          <w:sz w:val="28"/>
          <w:szCs w:val="28"/>
        </w:rPr>
      </w:pPr>
    </w:p>
    <w:p>
      <w:pPr>
        <w:ind w:firstLine="560"/>
        <w:rPr>
          <w:rFonts w:ascii="仿宋" w:hAnsi="仿宋" w:eastAsia="仿宋"/>
          <w:sz w:val="28"/>
          <w:szCs w:val="28"/>
        </w:rPr>
      </w:pPr>
      <w:r>
        <w:rPr>
          <w:rFonts w:hint="eastAsia" w:ascii="仿宋" w:hAnsi="仿宋" w:eastAsia="仿宋"/>
          <w:sz w:val="28"/>
          <w:szCs w:val="28"/>
        </w:rPr>
        <w:t>6.2租金</w:t>
      </w:r>
      <w:r>
        <w:rPr>
          <w:rFonts w:ascii="仿宋" w:hAnsi="仿宋" w:eastAsia="仿宋"/>
          <w:sz w:val="28"/>
          <w:szCs w:val="28"/>
        </w:rPr>
        <w:t>由乙方</w:t>
      </w:r>
      <w:r>
        <w:rPr>
          <w:rFonts w:hint="eastAsia" w:ascii="仿宋" w:hAnsi="仿宋" w:eastAsia="仿宋"/>
          <w:sz w:val="28"/>
          <w:szCs w:val="28"/>
        </w:rPr>
        <w:t>同时转账</w:t>
      </w:r>
      <w:r>
        <w:rPr>
          <w:rFonts w:ascii="仿宋" w:hAnsi="仿宋" w:eastAsia="仿宋"/>
          <w:sz w:val="28"/>
          <w:szCs w:val="28"/>
        </w:rPr>
        <w:t>支付至甲方指定账户。</w:t>
      </w:r>
    </w:p>
    <w:p>
      <w:pPr>
        <w:ind w:firstLine="560"/>
        <w:rPr>
          <w:rFonts w:ascii="仿宋" w:hAnsi="仿宋" w:eastAsia="仿宋"/>
          <w:sz w:val="28"/>
          <w:szCs w:val="28"/>
        </w:rPr>
      </w:pPr>
      <w:r>
        <w:rPr>
          <w:rFonts w:ascii="仿宋" w:hAnsi="仿宋" w:eastAsia="仿宋"/>
          <w:sz w:val="28"/>
          <w:szCs w:val="28"/>
        </w:rPr>
        <w:t>账户名：长沙先导恒通商业管理有限公司</w:t>
      </w:r>
    </w:p>
    <w:p>
      <w:pPr>
        <w:ind w:firstLine="560"/>
        <w:rPr>
          <w:rFonts w:ascii="仿宋" w:hAnsi="仿宋" w:eastAsia="仿宋"/>
          <w:sz w:val="28"/>
          <w:szCs w:val="28"/>
        </w:rPr>
      </w:pPr>
      <w:r>
        <w:rPr>
          <w:rFonts w:ascii="仿宋" w:hAnsi="仿宋" w:eastAsia="仿宋"/>
          <w:sz w:val="28"/>
          <w:szCs w:val="28"/>
        </w:rPr>
        <w:t>银行账号：368200100100133825</w:t>
      </w:r>
    </w:p>
    <w:p>
      <w:pPr>
        <w:ind w:firstLine="560"/>
        <w:rPr>
          <w:rFonts w:ascii="仿宋" w:hAnsi="仿宋" w:eastAsia="仿宋"/>
          <w:sz w:val="28"/>
          <w:szCs w:val="28"/>
        </w:rPr>
      </w:pPr>
      <w:r>
        <w:rPr>
          <w:rFonts w:ascii="仿宋" w:hAnsi="仿宋" w:eastAsia="仿宋"/>
          <w:sz w:val="28"/>
          <w:szCs w:val="28"/>
        </w:rPr>
        <w:t>开户银行：兴业银行股份有限公司长沙河西支行</w:t>
      </w:r>
    </w:p>
    <w:p>
      <w:pPr>
        <w:ind w:firstLine="560"/>
        <w:rPr>
          <w:rFonts w:ascii="仿宋" w:hAnsi="仿宋" w:eastAsia="仿宋"/>
          <w:sz w:val="28"/>
          <w:szCs w:val="28"/>
        </w:rPr>
      </w:pPr>
      <w:r>
        <w:rPr>
          <w:rFonts w:hint="eastAsia" w:ascii="仿宋" w:hAnsi="仿宋" w:eastAsia="仿宋"/>
          <w:sz w:val="28"/>
          <w:szCs w:val="28"/>
        </w:rPr>
        <w:t>6.3甲方收款账户发生变更时，出具书面确认材料给乙方。甲方在收到乙方款项后将开具相同金额的发票给乙方。</w:t>
      </w:r>
    </w:p>
    <w:p>
      <w:pPr>
        <w:ind w:firstLine="56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4租金的缴纳时间：首期预付六个月（即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 xml:space="preserve">  年</w:t>
      </w:r>
      <w:r>
        <w:rPr>
          <w:rFonts w:hint="eastAsia" w:ascii="仿宋" w:hAnsi="仿宋" w:eastAsia="仿宋"/>
          <w:sz w:val="28"/>
          <w:szCs w:val="28"/>
          <w:u w:val="single"/>
        </w:rPr>
        <w:t xml:space="preserve">  </w:t>
      </w:r>
      <w:r>
        <w:rPr>
          <w:rFonts w:hint="eastAsia" w:ascii="仿宋" w:hAnsi="仿宋" w:eastAsia="仿宋"/>
          <w:sz w:val="28"/>
          <w:szCs w:val="28"/>
        </w:rPr>
        <w:t xml:space="preserve"> 月</w:t>
      </w:r>
      <w:r>
        <w:rPr>
          <w:rFonts w:hint="eastAsia" w:ascii="仿宋" w:hAnsi="仿宋" w:eastAsia="仿宋"/>
          <w:sz w:val="28"/>
          <w:szCs w:val="28"/>
          <w:u w:val="single"/>
        </w:rPr>
        <w:t xml:space="preserve">  </w:t>
      </w:r>
      <w:r>
        <w:rPr>
          <w:rFonts w:hint="eastAsia" w:ascii="仿宋" w:hAnsi="仿宋" w:eastAsia="仿宋"/>
          <w:sz w:val="28"/>
          <w:szCs w:val="28"/>
        </w:rPr>
        <w:t xml:space="preserve"> 日）乙方支付租金人民币</w:t>
      </w:r>
      <w:r>
        <w:rPr>
          <w:rFonts w:hint="eastAsia" w:ascii="仿宋" w:hAnsi="仿宋" w:eastAsia="仿宋"/>
          <w:sz w:val="28"/>
          <w:szCs w:val="28"/>
          <w:u w:val="single"/>
        </w:rPr>
        <w:t xml:space="preserve"> </w:t>
      </w:r>
      <w:r>
        <w:rPr>
          <w:rFonts w:hint="eastAsia" w:ascii="仿宋" w:hAnsi="仿宋" w:eastAsia="仿宋"/>
          <w:sz w:val="28"/>
          <w:szCs w:val="28"/>
        </w:rPr>
        <w:t>元，首期租金应于签订本合同后15日内付清，</w:t>
      </w:r>
      <w:r>
        <w:rPr>
          <w:rFonts w:ascii="仿宋" w:hAnsi="仿宋" w:eastAsia="仿宋"/>
          <w:sz w:val="28"/>
          <w:szCs w:val="28"/>
        </w:rPr>
        <w:t>以后每</w:t>
      </w:r>
      <w:r>
        <w:rPr>
          <w:rFonts w:hint="eastAsia" w:ascii="仿宋" w:hAnsi="仿宋" w:eastAsia="仿宋"/>
          <w:sz w:val="28"/>
          <w:szCs w:val="28"/>
        </w:rPr>
        <w:t>期</w:t>
      </w:r>
      <w:r>
        <w:rPr>
          <w:rFonts w:ascii="仿宋" w:hAnsi="仿宋" w:eastAsia="仿宋"/>
          <w:sz w:val="28"/>
          <w:szCs w:val="28"/>
        </w:rPr>
        <w:t>的</w:t>
      </w:r>
      <w:r>
        <w:rPr>
          <w:rFonts w:hint="eastAsia" w:ascii="仿宋" w:hAnsi="仿宋" w:eastAsia="仿宋"/>
          <w:sz w:val="28"/>
          <w:szCs w:val="28"/>
        </w:rPr>
        <w:t>租金为每季度预付，以每一季为一次支付周期，</w:t>
      </w:r>
      <w:r>
        <w:rPr>
          <w:rFonts w:ascii="仿宋" w:hAnsi="仿宋" w:eastAsia="仿宋"/>
          <w:sz w:val="28"/>
          <w:szCs w:val="28"/>
        </w:rPr>
        <w:t>乙方应在上季度</w:t>
      </w:r>
      <w:r>
        <w:rPr>
          <w:rFonts w:hint="eastAsia" w:ascii="仿宋" w:hAnsi="仿宋" w:eastAsia="仿宋"/>
          <w:sz w:val="28"/>
          <w:szCs w:val="28"/>
        </w:rPr>
        <w:t>届满30日前</w:t>
      </w:r>
      <w:r>
        <w:rPr>
          <w:rFonts w:ascii="仿宋" w:hAnsi="仿宋" w:eastAsia="仿宋"/>
          <w:sz w:val="28"/>
          <w:szCs w:val="28"/>
        </w:rPr>
        <w:t>付清。</w:t>
      </w:r>
    </w:p>
    <w:p>
      <w:pPr>
        <w:ind w:firstLine="560"/>
        <w:rPr>
          <w:rFonts w:ascii="仿宋" w:hAnsi="仿宋" w:eastAsia="仿宋"/>
          <w:sz w:val="28"/>
          <w:szCs w:val="28"/>
        </w:rPr>
      </w:pPr>
      <w:r>
        <w:rPr>
          <w:rFonts w:hint="eastAsia" w:ascii="仿宋" w:hAnsi="仿宋" w:eastAsia="仿宋"/>
          <w:sz w:val="28"/>
          <w:szCs w:val="28"/>
        </w:rPr>
        <w:t>6.5乙方需支付经营所产生的水电、天然气等费用，乙方区域内的物业管理由乙方自行负责并承担相应费用和安全责任（包括不限于保安、保洁、工程维护、设备维护等）</w:t>
      </w:r>
    </w:p>
    <w:p>
      <w:pPr>
        <w:ind w:firstLine="560"/>
        <w:rPr>
          <w:rFonts w:ascii="仿宋" w:hAnsi="仿宋" w:eastAsia="仿宋"/>
          <w:sz w:val="28"/>
          <w:szCs w:val="28"/>
        </w:rPr>
      </w:pPr>
      <w:r>
        <w:rPr>
          <w:rFonts w:hint="eastAsia" w:ascii="仿宋" w:hAnsi="仿宋" w:eastAsia="仿宋"/>
          <w:sz w:val="28"/>
          <w:szCs w:val="28"/>
        </w:rPr>
        <w:t>6.6承租期内，如乙方需使用甲方提供的水、电、气等能源已在《物业管理合同》中约定，乙方需按收费标准缴纳能源费。</w:t>
      </w:r>
    </w:p>
    <w:p>
      <w:pPr>
        <w:ind w:firstLine="560"/>
        <w:rPr>
          <w:rFonts w:ascii="仿宋" w:hAnsi="仿宋" w:eastAsia="仿宋"/>
          <w:sz w:val="28"/>
          <w:szCs w:val="28"/>
        </w:rPr>
      </w:pPr>
      <w:r>
        <w:rPr>
          <w:rFonts w:hint="eastAsia" w:ascii="仿宋" w:hAnsi="仿宋" w:eastAsia="仿宋"/>
          <w:sz w:val="28"/>
          <w:szCs w:val="28"/>
        </w:rPr>
        <w:t>6.7关于T3栋1至5楼的原租赁单位湖南百合百乐商业管理有限公司（以下简称“百合百乐公司”）历史欠租偿还特别约定：</w:t>
      </w:r>
    </w:p>
    <w:p>
      <w:pPr>
        <w:ind w:firstLine="560"/>
        <w:rPr>
          <w:rFonts w:ascii="仿宋" w:hAnsi="仿宋" w:eastAsia="仿宋"/>
          <w:sz w:val="28"/>
          <w:szCs w:val="28"/>
        </w:rPr>
      </w:pPr>
      <w:r>
        <w:rPr>
          <w:rFonts w:hint="eastAsia" w:ascii="仿宋" w:hAnsi="仿宋" w:eastAsia="仿宋"/>
          <w:sz w:val="28"/>
          <w:szCs w:val="28"/>
        </w:rPr>
        <w:t>6.7.1乙方在签订本合同后的30日内出资设立专门的项目运营公司（项目运营公司经营业务仅限于本合同约定的租赁物业相关的招商运营，且注册资本不低于2000万，中标人持股不低于70%）。</w:t>
      </w:r>
    </w:p>
    <w:p>
      <w:pPr>
        <w:ind w:firstLine="560"/>
        <w:rPr>
          <w:rFonts w:ascii="仿宋" w:hAnsi="仿宋" w:eastAsia="仿宋"/>
          <w:sz w:val="28"/>
          <w:szCs w:val="28"/>
        </w:rPr>
      </w:pPr>
      <w:r>
        <w:rPr>
          <w:rFonts w:hint="eastAsia" w:ascii="仿宋" w:hAnsi="仿宋" w:eastAsia="仿宋"/>
          <w:sz w:val="28"/>
          <w:szCs w:val="28"/>
        </w:rPr>
        <w:t>6.7.2乙方同意通过股权转让或者其他方式确保租赁物业的原租赁户百合百乐公司）或百合百乐公司委托持股的主体，至少持有该项目运营公司30%的股权。</w:t>
      </w:r>
    </w:p>
    <w:p>
      <w:pPr>
        <w:ind w:firstLine="560"/>
        <w:rPr>
          <w:rFonts w:ascii="仿宋" w:hAnsi="仿宋" w:eastAsia="仿宋"/>
          <w:sz w:val="28"/>
          <w:szCs w:val="28"/>
        </w:rPr>
      </w:pPr>
      <w:r>
        <w:rPr>
          <w:rFonts w:hint="eastAsia" w:ascii="仿宋" w:hAnsi="仿宋" w:eastAsia="仿宋"/>
          <w:sz w:val="28"/>
          <w:szCs w:val="28"/>
        </w:rPr>
        <w:t>6.7.3乙方同意在本合同签订后30日内将其在本合同中的全部权利义务转让给项目运营公司并签署相应的权利义务转移协议，由项目运营公司与甲方继续履行本合同。</w:t>
      </w:r>
    </w:p>
    <w:p>
      <w:pPr>
        <w:ind w:firstLine="560"/>
        <w:rPr>
          <w:rFonts w:ascii="仿宋" w:hAnsi="仿宋" w:eastAsia="仿宋"/>
          <w:sz w:val="28"/>
          <w:szCs w:val="28"/>
        </w:rPr>
      </w:pPr>
      <w:r>
        <w:rPr>
          <w:rFonts w:hint="eastAsia" w:ascii="仿宋" w:hAnsi="仿宋" w:eastAsia="仿宋"/>
          <w:sz w:val="28"/>
          <w:szCs w:val="28"/>
        </w:rPr>
        <w:t>6.7.4乙方同意百合百乐公司（或其委托持股的主体）以其持有的项目运营公司不少于30%的股权（简称：质押股权）为百合百乐公司向长沙综合交通枢纽建设投资有限公司（简称：交通枢纽公司）偿还2019湘01民初3253号案（2019年8月，交通枢纽公司作为原告诉百合百乐公司租赁合同纠纷案）生效判决或调解书确定的债务金额（简称：历史债务）向交通枢纽公司提供股权质押担保，百合百乐公司的还款计划具体如下：在租赁合同期内（租期为十六年）的第一年和第二年，每年至少偿还150万元，从第三年至第十六年，每年至少偿还200万元(若该年度质押股权的股利分红大于该数值则以股利分红数额为准）；乙方已了解并认可百合百合公司的前述债务情况及还款计划。</w:t>
      </w:r>
    </w:p>
    <w:p>
      <w:pPr>
        <w:ind w:firstLine="560"/>
        <w:rPr>
          <w:rFonts w:ascii="仿宋" w:hAnsi="仿宋" w:eastAsia="仿宋"/>
          <w:sz w:val="28"/>
          <w:szCs w:val="28"/>
        </w:rPr>
      </w:pPr>
      <w:r>
        <w:rPr>
          <w:rFonts w:hint="eastAsia" w:ascii="仿宋" w:hAnsi="仿宋" w:eastAsia="仿宋"/>
          <w:sz w:val="28"/>
          <w:szCs w:val="28"/>
        </w:rPr>
        <w:t>6.7.5乙方同意在本合同期内（租期为十六年）质押股权每年的全部股利分红优先偿还百合百合公司对交通枢纽公司的历史债务，并由乙方直接支付至甲方或交通枢纽公司指定的银行账号；在本合同期内乙方除了缴纳本合同约定的租金外，还须通过质押股权全部股利分红用以优先偿还百合百乐公司对交通枢纽公司历史债务的方式，在本合同期的前两年每年至少向交通枢纽公司支付150万元，从第三年至第十六年，每年至少支付200万元(乙方如盈利则每年至少分红一次，并于次年公历的1月31日前完成上一年度的股利分红，若该年度质押股权的股利分红大于前述约定的最低金额则以两者较高者为准，详见下表）。</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2283"/>
        <w:gridCol w:w="2289"/>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年数（自然年度）</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最低偿还金额</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年数（自然年度）</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最低偿还金额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第1年</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150万元</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第2年</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第3年</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200万元</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第4年</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第5年</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200万元</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第6年</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第7年</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200万元</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第8年</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第9年</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200万元</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第10年</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第11年</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200万元</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第12年</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第13年</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200万元</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第14年</w:t>
            </w:r>
          </w:p>
        </w:tc>
        <w:tc>
          <w:tcPr>
            <w:tcW w:w="2284" w:type="dxa"/>
            <w:vAlign w:val="center"/>
          </w:tcPr>
          <w:p>
            <w:pPr>
              <w:jc w:val="center"/>
              <w:rPr>
                <w:rFonts w:ascii="仿宋" w:hAnsi="仿宋" w:eastAsia="仿宋"/>
                <w:sz w:val="28"/>
                <w:szCs w:val="28"/>
              </w:rPr>
            </w:pPr>
            <w:r>
              <w:rPr>
                <w:rFonts w:hint="eastAsia" w:ascii="仿宋" w:hAnsi="仿宋" w:eastAsia="仿宋"/>
                <w:sz w:val="28"/>
                <w:szCs w:val="28"/>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83" w:type="dxa"/>
            <w:vAlign w:val="center"/>
          </w:tcPr>
          <w:p>
            <w:pPr>
              <w:jc w:val="center"/>
              <w:rPr>
                <w:rFonts w:ascii="仿宋" w:hAnsi="仿宋" w:eastAsia="仿宋"/>
                <w:sz w:val="28"/>
                <w:szCs w:val="28"/>
              </w:rPr>
            </w:pPr>
            <w:r>
              <w:rPr>
                <w:rFonts w:hint="eastAsia" w:ascii="仿宋" w:hAnsi="仿宋" w:eastAsia="仿宋"/>
                <w:sz w:val="28"/>
                <w:szCs w:val="28"/>
              </w:rPr>
              <w:t>第15年</w:t>
            </w:r>
          </w:p>
        </w:tc>
        <w:tc>
          <w:tcPr>
            <w:tcW w:w="2283" w:type="dxa"/>
            <w:vAlign w:val="center"/>
          </w:tcPr>
          <w:p>
            <w:pPr>
              <w:jc w:val="center"/>
              <w:rPr>
                <w:rFonts w:ascii="仿宋" w:hAnsi="仿宋" w:eastAsia="仿宋"/>
                <w:sz w:val="28"/>
                <w:szCs w:val="28"/>
              </w:rPr>
            </w:pPr>
            <w:r>
              <w:rPr>
                <w:rFonts w:hint="eastAsia" w:ascii="仿宋" w:hAnsi="仿宋" w:eastAsia="仿宋"/>
                <w:sz w:val="28"/>
                <w:szCs w:val="28"/>
              </w:rPr>
              <w:t>200万元</w:t>
            </w:r>
          </w:p>
        </w:tc>
        <w:tc>
          <w:tcPr>
            <w:tcW w:w="2289" w:type="dxa"/>
            <w:vAlign w:val="center"/>
          </w:tcPr>
          <w:p>
            <w:pPr>
              <w:jc w:val="center"/>
              <w:rPr>
                <w:rFonts w:ascii="仿宋" w:hAnsi="仿宋" w:eastAsia="仿宋"/>
                <w:sz w:val="28"/>
                <w:szCs w:val="28"/>
              </w:rPr>
            </w:pPr>
            <w:r>
              <w:rPr>
                <w:rFonts w:hint="eastAsia" w:ascii="仿宋" w:hAnsi="仿宋" w:eastAsia="仿宋"/>
                <w:sz w:val="28"/>
                <w:szCs w:val="28"/>
              </w:rPr>
              <w:t>第16年</w:t>
            </w:r>
          </w:p>
        </w:tc>
        <w:tc>
          <w:tcPr>
            <w:tcW w:w="2279" w:type="dxa"/>
            <w:vAlign w:val="center"/>
          </w:tcPr>
          <w:p>
            <w:pPr>
              <w:jc w:val="center"/>
              <w:rPr>
                <w:rFonts w:ascii="仿宋" w:hAnsi="仿宋" w:eastAsia="仿宋"/>
                <w:sz w:val="28"/>
                <w:szCs w:val="28"/>
              </w:rPr>
            </w:pPr>
            <w:r>
              <w:rPr>
                <w:rFonts w:hint="eastAsia" w:ascii="仿宋" w:hAnsi="仿宋" w:eastAsia="仿宋"/>
                <w:sz w:val="28"/>
                <w:szCs w:val="28"/>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134" w:type="dxa"/>
            <w:gridSpan w:val="4"/>
            <w:vAlign w:val="center"/>
          </w:tcPr>
          <w:p>
            <w:pPr>
              <w:jc w:val="center"/>
              <w:rPr>
                <w:rFonts w:ascii="仿宋" w:hAnsi="仿宋" w:eastAsia="仿宋"/>
                <w:sz w:val="28"/>
                <w:szCs w:val="28"/>
              </w:rPr>
            </w:pPr>
            <w:r>
              <w:rPr>
                <w:rFonts w:hint="eastAsia" w:ascii="仿宋" w:hAnsi="仿宋" w:eastAsia="仿宋"/>
                <w:sz w:val="28"/>
                <w:szCs w:val="28"/>
              </w:rPr>
              <w:t>备注：若累计偿还金额超过历史债务金额，则乙方无需再进行偿还</w:t>
            </w:r>
          </w:p>
        </w:tc>
      </w:tr>
    </w:tbl>
    <w:p>
      <w:pPr>
        <w:ind w:firstLine="560"/>
        <w:rPr>
          <w:rFonts w:ascii="仿宋" w:hAnsi="仿宋" w:eastAsia="仿宋"/>
          <w:sz w:val="28"/>
          <w:szCs w:val="28"/>
        </w:rPr>
      </w:pPr>
      <w:r>
        <w:rPr>
          <w:rFonts w:hint="eastAsia" w:ascii="仿宋" w:hAnsi="仿宋" w:eastAsia="仿宋"/>
          <w:sz w:val="28"/>
          <w:szCs w:val="28"/>
        </w:rPr>
        <w:t>6.7.6在租赁合同期内，若百合百乐公司的还款金额与质押股权对应的全部股利分红之和低于该年度百合百乐公司在还款计划中承诺的最低还款金额，则乙方须对百合百合百乐公司每年的最低还款金额进行兜底代为偿还，并在收到交通枢纽公司书面通知后在其规定的期限内补足差额，否则，甲方有权对乙方采取包括但不限于停止水、电、气供应并可单方书面通知乙方解除本合同等措施；历史债务偿还、股权质押等具体事宜，在本合同签订后30日内，由甲方、乙方、交通枢纽公司、百合白乐公司及相关方另行签订协议进行约定（注：以上“股利分红”为税后纯利，涉及企业所得税等相关税费均由项目运营公司承担）。</w:t>
      </w:r>
    </w:p>
    <w:p>
      <w:pPr>
        <w:ind w:firstLine="560"/>
        <w:rPr>
          <w:rFonts w:ascii="仿宋" w:hAnsi="仿宋" w:eastAsia="仿宋"/>
          <w:sz w:val="28"/>
          <w:szCs w:val="28"/>
        </w:rPr>
      </w:pPr>
      <w:r>
        <w:rPr>
          <w:rFonts w:hint="eastAsia" w:ascii="仿宋" w:hAnsi="仿宋" w:eastAsia="仿宋"/>
          <w:sz w:val="28"/>
          <w:szCs w:val="28"/>
        </w:rPr>
        <w:t>6.8 在合同期内，若乙方未能在本合同约定期限内将百合百乐公司还款计划中的最低还款金额（前两年每年至少150万元，第六至第十六年每年至少200万元）缴纳至甲方或交通枢纽公司指定账户，甲方将有权单方面解除本合同，按本合同第十八条约定追究乙方的违约责任。</w:t>
      </w:r>
    </w:p>
    <w:p>
      <w:pPr>
        <w:ind w:firstLine="560"/>
        <w:rPr>
          <w:rFonts w:ascii="仿宋" w:hAnsi="仿宋" w:eastAsia="仿宋"/>
          <w:sz w:val="28"/>
          <w:szCs w:val="28"/>
        </w:rPr>
      </w:pPr>
      <w:r>
        <w:rPr>
          <w:rFonts w:hint="eastAsia" w:ascii="仿宋" w:hAnsi="仿宋" w:eastAsia="仿宋"/>
          <w:sz w:val="28"/>
          <w:szCs w:val="28"/>
        </w:rPr>
        <w:t>6.9若因乙方原因，导致相关方无法按期签订本合同的权利义务转移协议、质押股权的股权质押合同及历史债务偿还协议的，甲方有权单方面解除本合同，并追究因乙方延误签约造成的相关赔偿损失。</w:t>
      </w:r>
    </w:p>
    <w:p>
      <w:pPr>
        <w:rPr>
          <w:rFonts w:ascii="仿宋" w:hAnsi="仿宋" w:eastAsia="仿宋"/>
          <w:b/>
          <w:sz w:val="28"/>
          <w:szCs w:val="28"/>
        </w:rPr>
      </w:pPr>
      <w:r>
        <w:rPr>
          <w:rFonts w:hint="eastAsia" w:ascii="仿宋" w:hAnsi="仿宋" w:eastAsia="仿宋"/>
          <w:b/>
          <w:sz w:val="28"/>
          <w:szCs w:val="28"/>
        </w:rPr>
        <w:t>第七</w:t>
      </w:r>
      <w:r>
        <w:rPr>
          <w:rFonts w:ascii="仿宋" w:hAnsi="仿宋" w:eastAsia="仿宋"/>
          <w:b/>
          <w:sz w:val="28"/>
          <w:szCs w:val="28"/>
        </w:rPr>
        <w:t>条保证金</w:t>
      </w:r>
    </w:p>
    <w:p>
      <w:pPr>
        <w:ind w:firstLine="560"/>
        <w:rPr>
          <w:rFonts w:ascii="仿宋" w:hAnsi="仿宋" w:eastAsia="仿宋"/>
          <w:sz w:val="28"/>
          <w:szCs w:val="28"/>
        </w:rPr>
      </w:pPr>
      <w:r>
        <w:rPr>
          <w:rFonts w:ascii="仿宋" w:hAnsi="仿宋" w:eastAsia="仿宋"/>
          <w:sz w:val="28"/>
          <w:szCs w:val="28"/>
        </w:rPr>
        <w:t xml:space="preserve">7.1  </w:t>
      </w:r>
      <w:r>
        <w:rPr>
          <w:rFonts w:hint="eastAsia" w:ascii="仿宋" w:hAnsi="仿宋" w:eastAsia="仿宋"/>
          <w:sz w:val="28"/>
          <w:szCs w:val="28"/>
        </w:rPr>
        <w:t>在本合同签订当日，</w:t>
      </w:r>
      <w:r>
        <w:rPr>
          <w:rFonts w:hint="eastAsia" w:ascii="仿宋" w:hAnsi="仿宋" w:eastAsia="仿宋" w:cs="宋体"/>
          <w:sz w:val="28"/>
          <w:szCs w:val="28"/>
        </w:rPr>
        <w:t>乙方</w:t>
      </w:r>
      <w:r>
        <w:rPr>
          <w:rFonts w:ascii="仿宋" w:hAnsi="仿宋" w:eastAsia="仿宋" w:cs="宋体"/>
          <w:sz w:val="28"/>
          <w:szCs w:val="28"/>
        </w:rPr>
        <w:t>须</w:t>
      </w:r>
      <w:r>
        <w:rPr>
          <w:rFonts w:hint="eastAsia" w:ascii="仿宋" w:hAnsi="仿宋" w:eastAsia="仿宋" w:cs="宋体"/>
          <w:sz w:val="28"/>
          <w:szCs w:val="28"/>
        </w:rPr>
        <w:t>向</w:t>
      </w:r>
      <w:r>
        <w:rPr>
          <w:rFonts w:ascii="仿宋" w:hAnsi="仿宋" w:eastAsia="仿宋" w:cs="宋体"/>
          <w:sz w:val="28"/>
          <w:szCs w:val="28"/>
        </w:rPr>
        <w:t>甲方交付</w:t>
      </w:r>
      <w:r>
        <w:rPr>
          <w:rFonts w:hint="eastAsia" w:ascii="仿宋" w:hAnsi="仿宋" w:eastAsia="仿宋" w:cs="宋体"/>
          <w:sz w:val="28"/>
          <w:szCs w:val="28"/>
        </w:rPr>
        <w:t>保证金共计人民币</w:t>
      </w:r>
      <w:r>
        <w:rPr>
          <w:rFonts w:hint="eastAsia" w:ascii="仿宋" w:hAnsi="仿宋" w:eastAsia="仿宋" w:cs="宋体"/>
          <w:sz w:val="28"/>
          <w:szCs w:val="28"/>
          <w:u w:val="single"/>
        </w:rPr>
        <w:t xml:space="preserve">       </w:t>
      </w:r>
      <w:r>
        <w:rPr>
          <w:rFonts w:hint="eastAsia" w:ascii="仿宋" w:hAnsi="仿宋" w:eastAsia="仿宋" w:cs="宋体"/>
          <w:sz w:val="28"/>
          <w:szCs w:val="28"/>
        </w:rPr>
        <w:t>元（大写</w:t>
      </w:r>
      <w:r>
        <w:rPr>
          <w:rFonts w:hint="eastAsia" w:ascii="仿宋" w:hAnsi="仿宋" w:eastAsia="仿宋" w:cs="宋体"/>
          <w:sz w:val="28"/>
          <w:szCs w:val="28"/>
          <w:u w:val="single"/>
        </w:rPr>
        <w:t xml:space="preserve">              </w:t>
      </w:r>
      <w:r>
        <w:rPr>
          <w:rFonts w:hint="eastAsia" w:ascii="仿宋" w:hAnsi="仿宋" w:eastAsia="仿宋" w:cs="宋体"/>
          <w:sz w:val="28"/>
          <w:szCs w:val="28"/>
        </w:rPr>
        <w:t>），</w:t>
      </w:r>
      <w:r>
        <w:rPr>
          <w:rFonts w:hint="eastAsia" w:ascii="仿宋" w:hAnsi="仿宋" w:eastAsia="仿宋"/>
          <w:sz w:val="28"/>
          <w:szCs w:val="28"/>
        </w:rPr>
        <w:t>在签订意向书时乙方支付的意向金转为该保证金，乙方需配合甲方将意向协议中的意向金收据更换为保证金收据。</w:t>
      </w:r>
    </w:p>
    <w:p>
      <w:pPr>
        <w:ind w:firstLine="560"/>
        <w:rPr>
          <w:rFonts w:ascii="仿宋" w:hAnsi="仿宋" w:eastAsia="仿宋"/>
          <w:sz w:val="28"/>
          <w:szCs w:val="28"/>
        </w:rPr>
      </w:pPr>
      <w:r>
        <w:rPr>
          <w:rFonts w:ascii="仿宋" w:hAnsi="仿宋" w:eastAsia="仿宋"/>
          <w:sz w:val="28"/>
          <w:szCs w:val="28"/>
        </w:rPr>
        <w:t xml:space="preserve">7.2  </w:t>
      </w:r>
      <w:r>
        <w:rPr>
          <w:rFonts w:hint="eastAsia" w:ascii="仿宋" w:hAnsi="仿宋" w:eastAsia="仿宋"/>
          <w:sz w:val="28"/>
          <w:szCs w:val="28"/>
        </w:rPr>
        <w:t>租赁期内，乙方不得要求将保证金用于冲抵乙方应支付的租金、能源费、公用事业及配套设施费用、违约金、赔偿金等。但在乙方有欠费或其他违约行为的情形下，甲方随时有权选择将保证金冲抵乙方欠付的租金、能源费、公用事业及配套设施费用、违约金、赔偿金等；冲抵后，乙方应在七日内将保证金补足。</w:t>
      </w:r>
    </w:p>
    <w:p>
      <w:pPr>
        <w:ind w:firstLine="560"/>
        <w:rPr>
          <w:rFonts w:ascii="仿宋" w:hAnsi="仿宋" w:eastAsia="仿宋"/>
          <w:sz w:val="28"/>
          <w:szCs w:val="28"/>
        </w:rPr>
      </w:pPr>
      <w:r>
        <w:rPr>
          <w:rFonts w:ascii="仿宋" w:hAnsi="仿宋" w:eastAsia="仿宋"/>
          <w:sz w:val="28"/>
          <w:szCs w:val="28"/>
        </w:rPr>
        <w:t xml:space="preserve">7.3  </w:t>
      </w:r>
      <w:r>
        <w:rPr>
          <w:rFonts w:hint="eastAsia" w:ascii="仿宋" w:hAnsi="仿宋" w:eastAsia="仿宋"/>
          <w:sz w:val="28"/>
          <w:szCs w:val="28"/>
        </w:rPr>
        <w:t>本租赁合同终止或解除时，如乙方无违约行为，则在乙方向甲方移交租赁物业并经甲方验收合格且乙方办妥第8.2条约定的变更手续之日起</w:t>
      </w:r>
      <w:r>
        <w:rPr>
          <w:rFonts w:ascii="仿宋" w:hAnsi="仿宋" w:eastAsia="仿宋"/>
          <w:sz w:val="28"/>
          <w:szCs w:val="28"/>
        </w:rPr>
        <w:t>30日内，甲方将保证金无息退还乙方</w:t>
      </w:r>
      <w:r>
        <w:rPr>
          <w:rFonts w:hint="eastAsia" w:ascii="仿宋" w:hAnsi="仿宋" w:eastAsia="仿宋"/>
          <w:sz w:val="28"/>
          <w:szCs w:val="28"/>
        </w:rPr>
        <w:t>；</w:t>
      </w:r>
      <w:r>
        <w:rPr>
          <w:rFonts w:ascii="仿宋" w:hAnsi="仿宋" w:eastAsia="仿宋"/>
          <w:sz w:val="28"/>
          <w:szCs w:val="28"/>
        </w:rPr>
        <w:t>如乙方有违约行为，甲方可以</w:t>
      </w:r>
      <w:r>
        <w:rPr>
          <w:rFonts w:hint="eastAsia" w:ascii="仿宋" w:hAnsi="仿宋" w:eastAsia="仿宋"/>
          <w:sz w:val="28"/>
          <w:szCs w:val="28"/>
        </w:rPr>
        <w:t>用</w:t>
      </w:r>
      <w:r>
        <w:rPr>
          <w:rFonts w:ascii="仿宋" w:hAnsi="仿宋" w:eastAsia="仿宋"/>
          <w:sz w:val="28"/>
          <w:szCs w:val="28"/>
        </w:rPr>
        <w:t>保证金冲抵乙方欠付的</w:t>
      </w:r>
      <w:r>
        <w:rPr>
          <w:rFonts w:hint="eastAsia" w:ascii="仿宋" w:hAnsi="仿宋" w:eastAsia="仿宋"/>
          <w:sz w:val="28"/>
          <w:szCs w:val="28"/>
        </w:rPr>
        <w:t>租金、能源费</w:t>
      </w:r>
      <w:r>
        <w:rPr>
          <w:rFonts w:ascii="仿宋" w:hAnsi="仿宋" w:eastAsia="仿宋"/>
          <w:sz w:val="28"/>
          <w:szCs w:val="28"/>
        </w:rPr>
        <w:t>、公用事业及配套设施费用、违约金、赔偿金等，冲抵后如有余额，甲方应将余额无息退还乙方</w:t>
      </w:r>
      <w:r>
        <w:rPr>
          <w:rFonts w:hint="eastAsia" w:ascii="仿宋" w:hAnsi="仿宋" w:eastAsia="仿宋"/>
          <w:sz w:val="28"/>
          <w:szCs w:val="28"/>
        </w:rPr>
        <w:t>；</w:t>
      </w:r>
      <w:r>
        <w:rPr>
          <w:rFonts w:ascii="仿宋" w:hAnsi="仿宋" w:eastAsia="仿宋"/>
          <w:sz w:val="28"/>
          <w:szCs w:val="28"/>
        </w:rPr>
        <w:t>如有不足，乙方仍有补足支付欠</w:t>
      </w:r>
      <w:r>
        <w:rPr>
          <w:rFonts w:hint="eastAsia" w:ascii="仿宋" w:hAnsi="仿宋" w:eastAsia="仿宋"/>
          <w:sz w:val="28"/>
          <w:szCs w:val="28"/>
        </w:rPr>
        <w:t>费、</w:t>
      </w:r>
      <w:r>
        <w:rPr>
          <w:rFonts w:ascii="仿宋" w:hAnsi="仿宋" w:eastAsia="仿宋"/>
          <w:sz w:val="28"/>
          <w:szCs w:val="28"/>
        </w:rPr>
        <w:t>违约金</w:t>
      </w:r>
      <w:r>
        <w:rPr>
          <w:rFonts w:hint="eastAsia" w:ascii="仿宋" w:hAnsi="仿宋" w:eastAsia="仿宋"/>
          <w:sz w:val="28"/>
          <w:szCs w:val="28"/>
        </w:rPr>
        <w:t>、</w:t>
      </w:r>
      <w:r>
        <w:rPr>
          <w:rFonts w:ascii="仿宋" w:hAnsi="仿宋" w:eastAsia="仿宋"/>
          <w:sz w:val="28"/>
          <w:szCs w:val="28"/>
        </w:rPr>
        <w:t>赔偿</w:t>
      </w:r>
      <w:r>
        <w:rPr>
          <w:rFonts w:hint="eastAsia" w:ascii="仿宋" w:hAnsi="仿宋" w:eastAsia="仿宋"/>
          <w:sz w:val="28"/>
          <w:szCs w:val="28"/>
        </w:rPr>
        <w:t>金</w:t>
      </w:r>
      <w:r>
        <w:rPr>
          <w:rFonts w:ascii="仿宋" w:hAnsi="仿宋" w:eastAsia="仿宋"/>
          <w:sz w:val="28"/>
          <w:szCs w:val="28"/>
        </w:rPr>
        <w:t>的义务</w:t>
      </w:r>
      <w:r>
        <w:rPr>
          <w:rFonts w:hint="eastAsia" w:ascii="仿宋" w:hAnsi="仿宋" w:eastAsia="仿宋"/>
          <w:sz w:val="28"/>
          <w:szCs w:val="28"/>
        </w:rPr>
        <w:t>。</w:t>
      </w:r>
    </w:p>
    <w:p>
      <w:pPr>
        <w:rPr>
          <w:rFonts w:ascii="仿宋" w:hAnsi="仿宋" w:eastAsia="仿宋"/>
          <w:b/>
          <w:sz w:val="28"/>
          <w:szCs w:val="28"/>
        </w:rPr>
      </w:pPr>
      <w:r>
        <w:rPr>
          <w:rFonts w:hint="eastAsia" w:ascii="仿宋" w:hAnsi="仿宋" w:eastAsia="仿宋"/>
          <w:b/>
          <w:sz w:val="28"/>
          <w:szCs w:val="28"/>
        </w:rPr>
        <w:t>第八</w:t>
      </w:r>
      <w:r>
        <w:rPr>
          <w:rFonts w:ascii="仿宋" w:hAnsi="仿宋" w:eastAsia="仿宋"/>
          <w:b/>
          <w:sz w:val="28"/>
          <w:szCs w:val="28"/>
        </w:rPr>
        <w:t>条公用事业及配套设施费用</w:t>
      </w:r>
    </w:p>
    <w:p>
      <w:pPr>
        <w:ind w:firstLine="56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.1  </w:t>
      </w:r>
      <w:r>
        <w:rPr>
          <w:rFonts w:hint="eastAsia" w:ascii="仿宋" w:hAnsi="仿宋" w:eastAsia="仿宋"/>
          <w:sz w:val="28"/>
          <w:szCs w:val="28"/>
        </w:rPr>
        <w:t>在租赁期内，乙方因使用公用事业及配套设施</w:t>
      </w:r>
      <w:r>
        <w:rPr>
          <w:rFonts w:ascii="仿宋" w:hAnsi="仿宋" w:eastAsia="仿宋"/>
          <w:sz w:val="28"/>
          <w:szCs w:val="28"/>
        </w:rPr>
        <w:t>(包括但不限于：气、电梯、电话、网络、电视等)而产生的费用，皆由乙方自行承担。其中，凡以乙方名义单独开户的，由乙方自行向有关收费部门缴纳，且乙方应在开户后三个工作日内将开户资料的复印件提供给甲方。</w:t>
      </w:r>
    </w:p>
    <w:p>
      <w:pPr>
        <w:ind w:firstLine="56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.2  </w:t>
      </w:r>
      <w:r>
        <w:rPr>
          <w:rFonts w:hint="eastAsia" w:ascii="仿宋" w:hAnsi="仿宋" w:eastAsia="仿宋"/>
          <w:sz w:val="28"/>
          <w:szCs w:val="28"/>
        </w:rPr>
        <w:t>在本合同终止或解除时，凡以乙方名义单独开户的公用事业及配套设施，乙方均应在本合同终止/解除之日起十五个工作日内办妥变更手续</w:t>
      </w:r>
      <w:r>
        <w:rPr>
          <w:rFonts w:ascii="仿宋" w:hAnsi="仿宋" w:eastAsia="仿宋"/>
          <w:sz w:val="28"/>
          <w:szCs w:val="28"/>
        </w:rPr>
        <w:t>(过户至甲方或甲方指定的第三方名下，或取消开户)。</w:t>
      </w:r>
    </w:p>
    <w:p>
      <w:pPr>
        <w:ind w:firstLine="560"/>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.3</w:t>
      </w:r>
      <w:r>
        <w:rPr>
          <w:rFonts w:hint="eastAsia" w:ascii="仿宋" w:hAnsi="仿宋" w:eastAsia="仿宋"/>
          <w:sz w:val="28"/>
          <w:szCs w:val="28"/>
        </w:rPr>
        <w:t xml:space="preserve">  乙方对该租赁物业进行充分的考察调研了解，若该租赁物业若无独立的水电供应、天然气尚未开通、空调未整体供应，乙方也对此均已知晓无异议，并同意租赁物业及配套设施的移交为现状移交，如移交时某项公用事业及配套设施未供应到位或乙方需要增加，变更某项公用事业及配套设施，需经甲方书面确认后，均由乙方自行办理相关手续并自担费用。由于乙方经营类别需要进行二次消防报建的，由乙方自行办理所有相关消防的一切审批手续并承担费用，甲方给予配合协助但不承担未能审批通过的责任后果。</w:t>
      </w:r>
    </w:p>
    <w:p>
      <w:pPr>
        <w:rPr>
          <w:rFonts w:ascii="仿宋" w:hAnsi="仿宋" w:eastAsia="仿宋"/>
          <w:b/>
          <w:sz w:val="28"/>
          <w:szCs w:val="28"/>
        </w:rPr>
      </w:pPr>
      <w:r>
        <w:rPr>
          <w:rFonts w:hint="eastAsia" w:ascii="仿宋" w:hAnsi="仿宋" w:eastAsia="仿宋"/>
          <w:b/>
          <w:sz w:val="28"/>
          <w:szCs w:val="28"/>
        </w:rPr>
        <w:t>第九条  商业管理相关规范</w:t>
      </w:r>
    </w:p>
    <w:p>
      <w:pPr>
        <w:autoSpaceDE w:val="0"/>
        <w:autoSpaceDN w:val="0"/>
        <w:adjustRightInd w:val="0"/>
        <w:ind w:left="1" w:right="422" w:rightChars="201" w:firstLine="565" w:firstLineChars="199"/>
        <w:rPr>
          <w:rFonts w:ascii="仿宋" w:hAnsi="仿宋" w:eastAsia="仿宋"/>
          <w:kern w:val="0"/>
          <w:sz w:val="28"/>
          <w:szCs w:val="28"/>
        </w:rPr>
      </w:pPr>
      <w:r>
        <w:rPr>
          <w:rFonts w:hint="eastAsia" w:ascii="仿宋" w:hAnsi="仿宋" w:eastAsia="仿宋"/>
          <w:spacing w:val="2"/>
          <w:kern w:val="0"/>
          <w:sz w:val="28"/>
          <w:szCs w:val="28"/>
        </w:rPr>
        <w:t>9.1乙方在该租赁物业开始营业之前，应</w:t>
      </w:r>
      <w:r>
        <w:rPr>
          <w:rFonts w:hint="eastAsia" w:ascii="仿宋" w:hAnsi="仿宋" w:eastAsia="仿宋"/>
          <w:spacing w:val="1"/>
          <w:kern w:val="0"/>
          <w:sz w:val="28"/>
          <w:szCs w:val="28"/>
        </w:rPr>
        <w:t>当取得所有必需的政府批准、登记或许可证明文件，</w:t>
      </w:r>
      <w:r>
        <w:rPr>
          <w:rFonts w:hint="eastAsia" w:ascii="仿宋" w:hAnsi="仿宋" w:eastAsia="仿宋"/>
          <w:spacing w:val="5"/>
          <w:kern w:val="0"/>
          <w:sz w:val="28"/>
          <w:szCs w:val="28"/>
        </w:rPr>
        <w:t>并确保</w:t>
      </w:r>
      <w:r>
        <w:rPr>
          <w:rFonts w:hint="eastAsia" w:ascii="仿宋" w:hAnsi="仿宋" w:eastAsia="仿宋"/>
          <w:spacing w:val="4"/>
          <w:kern w:val="0"/>
          <w:sz w:val="28"/>
          <w:szCs w:val="28"/>
        </w:rPr>
        <w:t>该等证明文件在租赁期内完全合法有效，否则由乙方自行承担一切责任。本合同</w:t>
      </w:r>
      <w:r>
        <w:rPr>
          <w:rFonts w:hint="eastAsia" w:ascii="仿宋" w:hAnsi="仿宋" w:eastAsia="仿宋"/>
          <w:kern w:val="0"/>
          <w:sz w:val="28"/>
          <w:szCs w:val="28"/>
        </w:rPr>
        <w:t>签订后</w:t>
      </w:r>
      <w:r>
        <w:rPr>
          <w:rFonts w:hint="eastAsia" w:ascii="仿宋" w:hAnsi="仿宋" w:eastAsia="仿宋"/>
          <w:spacing w:val="-12"/>
          <w:kern w:val="0"/>
          <w:sz w:val="28"/>
          <w:szCs w:val="28"/>
        </w:rPr>
        <w:t>，</w:t>
      </w:r>
      <w:r>
        <w:rPr>
          <w:rFonts w:hint="eastAsia" w:ascii="仿宋" w:hAnsi="仿宋" w:eastAsia="仿宋"/>
          <w:kern w:val="0"/>
          <w:sz w:val="28"/>
          <w:szCs w:val="28"/>
        </w:rPr>
        <w:t>乙方必须在甲方要求的期限内按</w:t>
      </w:r>
      <w:r>
        <w:rPr>
          <w:rFonts w:hint="eastAsia" w:ascii="仿宋" w:hAnsi="仿宋" w:eastAsia="仿宋"/>
          <w:spacing w:val="-12"/>
          <w:kern w:val="0"/>
          <w:sz w:val="28"/>
          <w:szCs w:val="28"/>
        </w:rPr>
        <w:t>照</w:t>
      </w:r>
      <w:r>
        <w:rPr>
          <w:rFonts w:hint="eastAsia" w:ascii="仿宋" w:hAnsi="仿宋" w:eastAsia="仿宋"/>
          <w:kern w:val="0"/>
          <w:sz w:val="28"/>
          <w:szCs w:val="28"/>
        </w:rPr>
        <w:t>其营业类型提交证明文件</w:t>
      </w:r>
      <w:r>
        <w:rPr>
          <w:rFonts w:hint="eastAsia" w:ascii="仿宋" w:hAnsi="仿宋" w:eastAsia="仿宋"/>
          <w:spacing w:val="-12"/>
          <w:kern w:val="0"/>
          <w:sz w:val="28"/>
          <w:szCs w:val="28"/>
        </w:rPr>
        <w:t>，</w:t>
      </w:r>
      <w:r>
        <w:rPr>
          <w:rFonts w:hint="eastAsia" w:ascii="仿宋" w:hAnsi="仿宋" w:eastAsia="仿宋"/>
          <w:kern w:val="0"/>
          <w:sz w:val="28"/>
          <w:szCs w:val="28"/>
        </w:rPr>
        <w:t>该等证明文件包括但不限于下列文件：</w:t>
      </w:r>
    </w:p>
    <w:p>
      <w:pPr>
        <w:autoSpaceDE w:val="0"/>
        <w:autoSpaceDN w:val="0"/>
        <w:adjustRightInd w:val="0"/>
        <w:ind w:right="422" w:rightChars="201" w:firstLine="560"/>
        <w:rPr>
          <w:rFonts w:ascii="仿宋" w:hAnsi="仿宋" w:eastAsia="仿宋"/>
          <w:kern w:val="0"/>
          <w:sz w:val="28"/>
          <w:szCs w:val="28"/>
        </w:rPr>
      </w:pPr>
      <w:r>
        <w:rPr>
          <w:rFonts w:ascii="仿宋" w:hAnsi="仿宋" w:eastAsia="仿宋"/>
          <w:kern w:val="0"/>
          <w:sz w:val="28"/>
          <w:szCs w:val="28"/>
        </w:rPr>
        <w:t>(</w:t>
      </w:r>
      <w:r>
        <w:rPr>
          <w:rFonts w:hint="eastAsia" w:ascii="仿宋" w:hAnsi="仿宋" w:eastAsia="仿宋"/>
          <w:kern w:val="0"/>
          <w:sz w:val="28"/>
          <w:szCs w:val="28"/>
        </w:rPr>
        <w:t>一</w:t>
      </w:r>
      <w:r>
        <w:rPr>
          <w:rFonts w:ascii="仿宋" w:hAnsi="仿宋" w:eastAsia="仿宋"/>
          <w:kern w:val="0"/>
          <w:sz w:val="28"/>
          <w:szCs w:val="28"/>
        </w:rPr>
        <w:t>)</w:t>
      </w:r>
      <w:r>
        <w:rPr>
          <w:rFonts w:hint="eastAsia" w:ascii="仿宋" w:hAnsi="仿宋" w:eastAsia="仿宋"/>
          <w:kern w:val="0"/>
          <w:sz w:val="28"/>
          <w:szCs w:val="28"/>
        </w:rPr>
        <w:t>营业执照；</w:t>
      </w:r>
    </w:p>
    <w:p>
      <w:pPr>
        <w:autoSpaceDE w:val="0"/>
        <w:autoSpaceDN w:val="0"/>
        <w:adjustRightInd w:val="0"/>
        <w:ind w:right="422" w:rightChars="201" w:firstLine="560"/>
        <w:rPr>
          <w:rFonts w:ascii="仿宋" w:hAnsi="仿宋" w:eastAsia="仿宋"/>
          <w:kern w:val="0"/>
          <w:sz w:val="28"/>
          <w:szCs w:val="28"/>
        </w:rPr>
      </w:pPr>
      <w:r>
        <w:rPr>
          <w:rFonts w:ascii="仿宋" w:hAnsi="仿宋" w:eastAsia="仿宋"/>
          <w:kern w:val="0"/>
          <w:sz w:val="28"/>
          <w:szCs w:val="28"/>
        </w:rPr>
        <w:t>(</w:t>
      </w:r>
      <w:r>
        <w:rPr>
          <w:rFonts w:hint="eastAsia" w:ascii="仿宋" w:hAnsi="仿宋" w:eastAsia="仿宋"/>
          <w:kern w:val="0"/>
          <w:sz w:val="28"/>
          <w:szCs w:val="28"/>
        </w:rPr>
        <w:t>二</w:t>
      </w:r>
      <w:r>
        <w:rPr>
          <w:rFonts w:ascii="仿宋" w:hAnsi="仿宋" w:eastAsia="仿宋"/>
          <w:kern w:val="0"/>
          <w:sz w:val="28"/>
          <w:szCs w:val="28"/>
        </w:rPr>
        <w:t>)</w:t>
      </w:r>
      <w:r>
        <w:rPr>
          <w:rFonts w:hint="eastAsia" w:ascii="仿宋" w:hAnsi="仿宋" w:eastAsia="仿宋"/>
          <w:kern w:val="0"/>
          <w:sz w:val="28"/>
          <w:szCs w:val="28"/>
        </w:rPr>
        <w:t>法定代表人身份证；</w:t>
      </w:r>
    </w:p>
    <w:p>
      <w:pPr>
        <w:autoSpaceDE w:val="0"/>
        <w:autoSpaceDN w:val="0"/>
        <w:adjustRightInd w:val="0"/>
        <w:ind w:right="422" w:rightChars="201" w:firstLine="560"/>
        <w:rPr>
          <w:rFonts w:ascii="仿宋" w:hAnsi="仿宋" w:eastAsia="仿宋"/>
          <w:kern w:val="0"/>
          <w:sz w:val="28"/>
          <w:szCs w:val="28"/>
        </w:rPr>
      </w:pPr>
      <w:r>
        <w:rPr>
          <w:rFonts w:ascii="仿宋" w:hAnsi="仿宋" w:eastAsia="仿宋"/>
          <w:kern w:val="0"/>
          <w:sz w:val="28"/>
          <w:szCs w:val="28"/>
        </w:rPr>
        <w:t>(</w:t>
      </w:r>
      <w:r>
        <w:rPr>
          <w:rFonts w:hint="eastAsia" w:ascii="仿宋" w:hAnsi="仿宋" w:eastAsia="仿宋"/>
          <w:kern w:val="0"/>
          <w:sz w:val="28"/>
          <w:szCs w:val="28"/>
        </w:rPr>
        <w:t>三</w:t>
      </w:r>
      <w:r>
        <w:rPr>
          <w:rFonts w:ascii="仿宋" w:hAnsi="仿宋" w:eastAsia="仿宋"/>
          <w:kern w:val="0"/>
          <w:sz w:val="28"/>
          <w:szCs w:val="28"/>
        </w:rPr>
        <w:t>)</w:t>
      </w:r>
      <w:r>
        <w:rPr>
          <w:rFonts w:hint="eastAsia" w:ascii="仿宋" w:hAnsi="仿宋" w:eastAsia="仿宋"/>
          <w:kern w:val="0"/>
          <w:sz w:val="28"/>
          <w:szCs w:val="28"/>
        </w:rPr>
        <w:t>产品质量检验合格证；</w:t>
      </w:r>
    </w:p>
    <w:p>
      <w:pPr>
        <w:autoSpaceDE w:val="0"/>
        <w:autoSpaceDN w:val="0"/>
        <w:adjustRightInd w:val="0"/>
        <w:ind w:right="422" w:rightChars="201" w:firstLine="420" w:firstLineChars="150"/>
        <w:rPr>
          <w:rFonts w:ascii="仿宋" w:hAnsi="仿宋" w:eastAsia="仿宋"/>
          <w:kern w:val="0"/>
          <w:sz w:val="28"/>
          <w:szCs w:val="28"/>
          <w:u w:val="single"/>
        </w:rPr>
      </w:pPr>
      <w:r>
        <w:rPr>
          <w:rFonts w:hint="eastAsia" w:ascii="仿宋" w:hAnsi="仿宋" w:eastAsia="仿宋"/>
          <w:kern w:val="0"/>
          <w:sz w:val="28"/>
          <w:szCs w:val="28"/>
        </w:rPr>
        <w:t>（四）其他 。</w:t>
      </w:r>
    </w:p>
    <w:p>
      <w:pPr>
        <w:ind w:firstLine="560"/>
        <w:rPr>
          <w:rFonts w:ascii="仿宋" w:hAnsi="仿宋" w:eastAsia="仿宋"/>
          <w:sz w:val="28"/>
          <w:szCs w:val="28"/>
        </w:rPr>
      </w:pPr>
      <w:r>
        <w:rPr>
          <w:rFonts w:hint="eastAsia" w:ascii="仿宋" w:hAnsi="仿宋" w:eastAsia="仿宋"/>
          <w:sz w:val="28"/>
          <w:szCs w:val="28"/>
        </w:rPr>
        <w:t>9.2乙方的营业人员由乙方自行聘用和管理，乙方应当对营业人员进行必要的岗位技能和职业道德培训。乙方保证其聘用的营业人员服从甲方管理，遵守甲方的管理规定。营业人员不服从甲方管理，或者违反商业管理规定的，视为乙方未能履行合同约定，甲方有权追究乙方的责任。</w:t>
      </w:r>
    </w:p>
    <w:p>
      <w:pPr>
        <w:ind w:firstLine="560"/>
        <w:rPr>
          <w:rFonts w:ascii="仿宋" w:hAnsi="仿宋" w:eastAsia="仿宋"/>
          <w:sz w:val="28"/>
          <w:szCs w:val="28"/>
        </w:rPr>
      </w:pPr>
      <w:r>
        <w:rPr>
          <w:rFonts w:hint="eastAsia" w:ascii="仿宋" w:hAnsi="仿宋" w:eastAsia="仿宋"/>
          <w:sz w:val="28"/>
          <w:szCs w:val="28"/>
        </w:rPr>
        <w:t>9.3乙方指定一位负责人，代表乙方处理租赁区域内的日常事务，并负责与甲方联络。</w:t>
      </w:r>
    </w:p>
    <w:p>
      <w:pPr>
        <w:ind w:firstLine="560"/>
        <w:rPr>
          <w:rFonts w:ascii="仿宋" w:hAnsi="仿宋" w:eastAsia="仿宋"/>
          <w:sz w:val="28"/>
          <w:szCs w:val="28"/>
        </w:rPr>
      </w:pPr>
      <w:r>
        <w:rPr>
          <w:rFonts w:hint="eastAsia" w:ascii="仿宋" w:hAnsi="仿宋" w:eastAsia="仿宋"/>
          <w:sz w:val="28"/>
          <w:szCs w:val="28"/>
        </w:rPr>
        <w:t>负责人如有更换，乙方应当及时以书面形式通知甲方，否则因此产生的后果由乙方自行承担。</w:t>
      </w:r>
    </w:p>
    <w:p>
      <w:pPr>
        <w:ind w:firstLine="560"/>
        <w:rPr>
          <w:rFonts w:ascii="仿宋" w:hAnsi="仿宋" w:eastAsia="仿宋"/>
          <w:sz w:val="28"/>
          <w:szCs w:val="28"/>
        </w:rPr>
      </w:pPr>
      <w:r>
        <w:rPr>
          <w:rFonts w:hint="eastAsia" w:ascii="仿宋" w:hAnsi="仿宋" w:eastAsia="仿宋"/>
          <w:sz w:val="28"/>
          <w:szCs w:val="28"/>
        </w:rPr>
        <w:t>9.4乙方应当及时将营业人员的身份证、个人履历、与乙方签订的书面劳动合同、委派证书以及有关政府部门要求从业人员必须取得的资格证明或证书提交甲方备案。在任何时候、任何情况下，该等备案并不表示甲方愿意或者应当对乙方营业人员的行为承担任何责任，乙方营业人员的行为所产生的责任一概由乙方承担。</w:t>
      </w:r>
    </w:p>
    <w:p>
      <w:pPr>
        <w:ind w:firstLine="560"/>
        <w:rPr>
          <w:rFonts w:ascii="仿宋" w:hAnsi="仿宋" w:eastAsia="仿宋"/>
          <w:sz w:val="28"/>
          <w:szCs w:val="28"/>
        </w:rPr>
      </w:pPr>
      <w:r>
        <w:rPr>
          <w:rFonts w:hint="eastAsia" w:ascii="仿宋" w:hAnsi="仿宋" w:eastAsia="仿宋"/>
          <w:sz w:val="28"/>
          <w:szCs w:val="28"/>
        </w:rPr>
        <w:t>9.5乙方需按国家标准保证其经营的产品或提供的服务，符合国家卫生安全标准，如出现因其违规生产经营造成的事故、投诉、处罚等负面事件由乙方自行承担，与甲方无关。如果甲方因此承担责任，甲方有权向乙方追偿。</w:t>
      </w:r>
    </w:p>
    <w:p>
      <w:pPr>
        <w:ind w:firstLine="560"/>
        <w:rPr>
          <w:rFonts w:ascii="仿宋" w:hAnsi="仿宋" w:eastAsia="仿宋"/>
          <w:sz w:val="28"/>
          <w:szCs w:val="28"/>
        </w:rPr>
      </w:pPr>
      <w:r>
        <w:rPr>
          <w:rFonts w:hint="eastAsia" w:ascii="仿宋" w:hAnsi="仿宋" w:eastAsia="仿宋"/>
          <w:sz w:val="28"/>
          <w:szCs w:val="28"/>
        </w:rPr>
        <w:t>9.6为保证该房屋整体经营需求，乙方在营业期间，如因乙方经营造成居民投诉及相关问题，由乙方自行承担责任，甲方应给予协调。</w:t>
      </w:r>
    </w:p>
    <w:p>
      <w:pPr>
        <w:ind w:firstLine="560"/>
        <w:rPr>
          <w:rFonts w:ascii="仿宋" w:hAnsi="仿宋" w:eastAsia="仿宋"/>
          <w:sz w:val="28"/>
          <w:szCs w:val="28"/>
        </w:rPr>
      </w:pPr>
      <w:r>
        <w:rPr>
          <w:rFonts w:hint="eastAsia" w:ascii="仿宋" w:hAnsi="仿宋" w:eastAsia="仿宋"/>
          <w:sz w:val="28"/>
          <w:szCs w:val="28"/>
        </w:rPr>
        <w:t>9.7 乙方租赁区域如发生生产安全事故、消费者伤害、客户投诉、治安事件、消防事件，或乙方与员工发生劳动争议等所造成的一切影响和责任、赔偿均由乙方自行承担，与甲方无关。如果甲方因此承担责任，甲方有权向乙方追偿。</w:t>
      </w:r>
    </w:p>
    <w:p>
      <w:pPr>
        <w:ind w:firstLine="560"/>
        <w:rPr>
          <w:rFonts w:ascii="仿宋" w:hAnsi="仿宋" w:eastAsia="仿宋"/>
          <w:sz w:val="28"/>
          <w:szCs w:val="28"/>
        </w:rPr>
      </w:pPr>
      <w:r>
        <w:rPr>
          <w:rFonts w:hint="eastAsia" w:ascii="仿宋" w:hAnsi="仿宋" w:eastAsia="仿宋"/>
          <w:sz w:val="28"/>
          <w:szCs w:val="28"/>
        </w:rPr>
        <w:t>9.8乙方有义务配合甲方进行经营数据的采集工作，采集方式包括但不限于问询、调查、专业设备采集等，甲方需确保经营数据仅用于商业管理需要并承担所有经营数据的保密义务，该保密行为适用于本合同第十五条之约定。</w:t>
      </w:r>
    </w:p>
    <w:p>
      <w:pPr>
        <w:rPr>
          <w:rFonts w:ascii="仿宋" w:hAnsi="仿宋" w:eastAsia="仿宋"/>
          <w:b/>
          <w:sz w:val="28"/>
          <w:szCs w:val="28"/>
        </w:rPr>
      </w:pPr>
      <w:r>
        <w:rPr>
          <w:rFonts w:hint="eastAsia" w:ascii="仿宋" w:hAnsi="仿宋" w:eastAsia="仿宋"/>
          <w:b/>
          <w:sz w:val="28"/>
          <w:szCs w:val="28"/>
        </w:rPr>
        <w:t>第十</w:t>
      </w:r>
      <w:r>
        <w:rPr>
          <w:rFonts w:ascii="仿宋" w:hAnsi="仿宋" w:eastAsia="仿宋"/>
          <w:b/>
          <w:sz w:val="28"/>
          <w:szCs w:val="28"/>
        </w:rPr>
        <w:t>条税费</w:t>
      </w:r>
    </w:p>
    <w:p>
      <w:pPr>
        <w:ind w:firstLine="560"/>
        <w:rPr>
          <w:rFonts w:ascii="仿宋" w:hAnsi="仿宋" w:eastAsia="仿宋"/>
          <w:sz w:val="28"/>
          <w:szCs w:val="28"/>
        </w:rPr>
      </w:pPr>
      <w:r>
        <w:rPr>
          <w:rFonts w:hint="eastAsia" w:ascii="仿宋" w:hAnsi="仿宋" w:eastAsia="仿宋"/>
          <w:sz w:val="28"/>
          <w:szCs w:val="28"/>
        </w:rPr>
        <w:t>10</w:t>
      </w:r>
      <w:r>
        <w:rPr>
          <w:rFonts w:ascii="仿宋" w:hAnsi="仿宋" w:eastAsia="仿宋"/>
          <w:sz w:val="28"/>
          <w:szCs w:val="28"/>
        </w:rPr>
        <w:t xml:space="preserve">.1  </w:t>
      </w:r>
      <w:r>
        <w:rPr>
          <w:rFonts w:hint="eastAsia" w:ascii="仿宋" w:hAnsi="仿宋" w:eastAsia="仿宋"/>
          <w:sz w:val="28"/>
          <w:szCs w:val="28"/>
        </w:rPr>
        <w:t>本合同签署、履行中所发生的，以及租赁期内与租赁物业有关的一切税费，皆按现行有效之法律、法规规定，由相应的纳税/缴费义务人自行承担；法律，法规未规定的，由乙方承担。</w:t>
      </w:r>
    </w:p>
    <w:p>
      <w:pPr>
        <w:rPr>
          <w:rFonts w:ascii="仿宋" w:hAnsi="仿宋" w:eastAsia="仿宋"/>
          <w:b/>
          <w:sz w:val="28"/>
          <w:szCs w:val="28"/>
        </w:rPr>
      </w:pPr>
      <w:r>
        <w:rPr>
          <w:rFonts w:hint="eastAsia" w:ascii="仿宋" w:hAnsi="仿宋" w:eastAsia="仿宋"/>
          <w:b/>
          <w:sz w:val="28"/>
          <w:szCs w:val="28"/>
        </w:rPr>
        <w:t>第十一</w:t>
      </w:r>
      <w:r>
        <w:rPr>
          <w:rFonts w:ascii="仿宋" w:hAnsi="仿宋" w:eastAsia="仿宋"/>
          <w:b/>
          <w:sz w:val="28"/>
          <w:szCs w:val="28"/>
        </w:rPr>
        <w:t>条租赁物业的装修</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t>.1甲方向乙方移交租赁物业后，在符合国家相关法律规定和不影响建筑物结构</w:t>
      </w:r>
      <w:r>
        <w:rPr>
          <w:rFonts w:hint="eastAsia" w:ascii="仿宋" w:hAnsi="仿宋" w:eastAsia="仿宋"/>
          <w:sz w:val="28"/>
          <w:szCs w:val="28"/>
        </w:rPr>
        <w:t>安全和公共设施以及符合消防安全规定的前提下，乙方可对租赁物业进行装修，并自行承担费用，但乙方所有设计、图纸和施工方案均应提前十日报甲方审查批准并备案，乙方进场装修的施工队必须与甲方签订《项目装饰装修管理协议》（该协议在场地交付后由甲方提供给乙方），缴纳相关装修保证金，服从甲方的施工现场管理。甲方不因该等审批、管理而承担任何责任。</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t>.2乙方的装修不得影响租赁物业的安全及正常功能，亦不得对公用事业及配套设施造成破坏；非经甲方事先书面许可，乙方不得进行改建、加层、或实施改变／影响租赁物业主体结构的其他装修行为。</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t>.3乙方应自行取得</w:t>
      </w:r>
      <w:r>
        <w:rPr>
          <w:rFonts w:hint="eastAsia" w:ascii="仿宋" w:hAnsi="仿宋" w:eastAsia="仿宋"/>
          <w:sz w:val="28"/>
          <w:szCs w:val="28"/>
        </w:rPr>
        <w:t>因装修施工行为而必须的一切政府许可</w:t>
      </w:r>
      <w:r>
        <w:rPr>
          <w:rFonts w:ascii="仿宋" w:hAnsi="仿宋" w:eastAsia="仿宋"/>
          <w:sz w:val="28"/>
          <w:szCs w:val="28"/>
        </w:rPr>
        <w:t>(包括但不限于：规划许可、消防许可、城管许可等)</w:t>
      </w:r>
      <w:r>
        <w:rPr>
          <w:rFonts w:hint="eastAsia" w:ascii="仿宋" w:hAnsi="仿宋" w:eastAsia="仿宋"/>
          <w:sz w:val="28"/>
          <w:szCs w:val="28"/>
        </w:rPr>
        <w:t>，</w:t>
      </w:r>
      <w:r>
        <w:rPr>
          <w:rFonts w:ascii="仿宋" w:hAnsi="仿宋" w:eastAsia="仿宋"/>
          <w:sz w:val="28"/>
          <w:szCs w:val="28"/>
        </w:rPr>
        <w:t>并自行承担相关费用。</w:t>
      </w:r>
    </w:p>
    <w:p>
      <w:pPr>
        <w:ind w:firstLine="560"/>
        <w:rPr>
          <w:rFonts w:ascii="仿宋" w:hAnsi="仿宋" w:eastAsia="仿宋"/>
          <w:sz w:val="28"/>
          <w:szCs w:val="28"/>
        </w:rPr>
      </w:pPr>
      <w:r>
        <w:rPr>
          <w:rFonts w:hint="eastAsia" w:ascii="仿宋" w:hAnsi="仿宋" w:eastAsia="仿宋"/>
          <w:sz w:val="28"/>
          <w:szCs w:val="28"/>
        </w:rPr>
        <w:t>11</w:t>
      </w:r>
      <w:r>
        <w:rPr>
          <w:rFonts w:ascii="仿宋" w:hAnsi="仿宋" w:eastAsia="仿宋"/>
          <w:sz w:val="28"/>
          <w:szCs w:val="28"/>
        </w:rPr>
        <w:t>．4本合同终止或解</w:t>
      </w:r>
      <w:r>
        <w:rPr>
          <w:rFonts w:hint="eastAsia" w:ascii="仿宋" w:hAnsi="仿宋" w:eastAsia="仿宋"/>
          <w:sz w:val="28"/>
          <w:szCs w:val="28"/>
        </w:rPr>
        <w:t>除时，乙方的装修遵循来修去丢原则处理；除因甲方违约所导致本合同解除外，甲方无须就所接受的乙方的装修而对乙方给予任何补偿或赔偿。</w:t>
      </w:r>
    </w:p>
    <w:p>
      <w:pPr>
        <w:rPr>
          <w:rFonts w:ascii="仿宋" w:hAnsi="仿宋" w:eastAsia="仿宋"/>
          <w:b/>
          <w:sz w:val="28"/>
          <w:szCs w:val="28"/>
        </w:rPr>
      </w:pPr>
      <w:r>
        <w:rPr>
          <w:rFonts w:hint="eastAsia" w:ascii="仿宋" w:hAnsi="仿宋" w:eastAsia="仿宋"/>
          <w:b/>
          <w:sz w:val="28"/>
          <w:szCs w:val="28"/>
        </w:rPr>
        <w:t>第十二</w:t>
      </w:r>
      <w:r>
        <w:rPr>
          <w:rFonts w:ascii="仿宋" w:hAnsi="仿宋" w:eastAsia="仿宋"/>
          <w:b/>
          <w:sz w:val="28"/>
          <w:szCs w:val="28"/>
        </w:rPr>
        <w:t>条租赁物业的使用</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乙方保证按本合同第</w:t>
      </w:r>
      <w:r>
        <w:rPr>
          <w:rFonts w:ascii="仿宋" w:hAnsi="仿宋" w:eastAsia="仿宋"/>
          <w:sz w:val="28"/>
          <w:szCs w:val="28"/>
        </w:rPr>
        <w:t>3.1条规定的用</w:t>
      </w:r>
      <w:r>
        <w:rPr>
          <w:rFonts w:hint="eastAsia" w:ascii="仿宋" w:hAnsi="仿宋" w:eastAsia="仿宋"/>
          <w:sz w:val="28"/>
          <w:szCs w:val="28"/>
        </w:rPr>
        <w:t>途使用租赁物业；在本租赁合同终止或解除、乙方交回租赁物业时，乙方必须保证租赁物业处于正常使用状态。</w:t>
      </w:r>
    </w:p>
    <w:p>
      <w:pPr>
        <w:ind w:firstLine="560"/>
        <w:rPr>
          <w:rFonts w:ascii="仿宋" w:hAnsi="仿宋" w:eastAsia="仿宋"/>
          <w:sz w:val="28"/>
          <w:szCs w:val="28"/>
        </w:rPr>
      </w:pPr>
      <w:r>
        <w:rPr>
          <w:rFonts w:hint="eastAsia" w:ascii="仿宋" w:hAnsi="仿宋" w:eastAsia="仿宋"/>
          <w:sz w:val="28"/>
          <w:szCs w:val="28"/>
        </w:rPr>
        <w:t>12.2乙方租赁区域内需严格按行业标准安装相关设施设备，如燃气、静音、排烟、排污、生化处理等设备，如由乙方自身原因造成的投诉、曝光、处罚由乙方自行承担。</w:t>
      </w:r>
    </w:p>
    <w:p>
      <w:pPr>
        <w:ind w:firstLine="560"/>
        <w:rPr>
          <w:rFonts w:ascii="仿宋" w:hAnsi="仿宋" w:eastAsia="仿宋"/>
          <w:sz w:val="28"/>
          <w:szCs w:val="28"/>
        </w:rPr>
      </w:pPr>
      <w:r>
        <w:rPr>
          <w:rFonts w:hint="eastAsia" w:ascii="仿宋" w:hAnsi="仿宋" w:eastAsia="仿宋"/>
          <w:sz w:val="28"/>
          <w:szCs w:val="28"/>
        </w:rPr>
        <w:t>12.3乙方租赁区域内应按国家标准保证其经营区域及产品，符合国家卫生安全标准，如出现因其违规生产造成的事故、投诉、处罚等负面事件由乙方自行承担。</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4租赁物业移交后，由于乙方使用不当造成租赁物业或其设备设施、公用事业的损坏，乙方有义务以合理的最快的时间自担费用进行修复，直至恢复原状；如果修复不能恢复原状或给甲方造成其他损失，乙方须赔偿甲方损失。</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5乙方应自行负责取得其在租赁物业内从事经营所需的一切必要的合法证件</w:t>
      </w:r>
      <w:r>
        <w:rPr>
          <w:rFonts w:ascii="仿宋" w:hAnsi="仿宋" w:eastAsia="仿宋"/>
          <w:sz w:val="28"/>
          <w:szCs w:val="28"/>
        </w:rPr>
        <w:t>(包括但不限于：工商营业执照、税务证照、政府消防、规划、建设、城管</w:t>
      </w:r>
      <w:r>
        <w:rPr>
          <w:rFonts w:hint="eastAsia" w:ascii="仿宋" w:hAnsi="仿宋" w:eastAsia="仿宋"/>
          <w:sz w:val="28"/>
          <w:szCs w:val="28"/>
        </w:rPr>
        <w:t>、环评、交通、食品卫生、医疗防疫等有关部门要求的其他批准文件等</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并自担费用。</w:t>
      </w:r>
    </w:p>
    <w:p>
      <w:pPr>
        <w:ind w:firstLine="560"/>
        <w:rPr>
          <w:rFonts w:ascii="仿宋" w:hAnsi="仿宋" w:eastAsia="仿宋"/>
          <w:sz w:val="28"/>
          <w:szCs w:val="28"/>
        </w:rPr>
      </w:pPr>
      <w:r>
        <w:rPr>
          <w:rFonts w:hint="eastAsia" w:ascii="仿宋" w:hAnsi="仿宋" w:eastAsia="仿宋"/>
          <w:sz w:val="28"/>
          <w:szCs w:val="28"/>
        </w:rPr>
        <w:t>12</w:t>
      </w:r>
      <w:r>
        <w:rPr>
          <w:rFonts w:ascii="仿宋" w:hAnsi="仿宋" w:eastAsia="仿宋"/>
          <w:sz w:val="28"/>
          <w:szCs w:val="28"/>
        </w:rPr>
        <w:t>.</w:t>
      </w:r>
      <w:r>
        <w:rPr>
          <w:rFonts w:hint="eastAsia" w:ascii="仿宋" w:hAnsi="仿宋" w:eastAsia="仿宋"/>
          <w:sz w:val="28"/>
          <w:szCs w:val="28"/>
        </w:rPr>
        <w:t>6乙方负责自费聘用保安人员并安装符合公安部门要求、适用于租赁物业的安全设施，乙方保安人员负责乙方租赁物业范围内的保安工作。</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7租赁物业的消防安全责任，自甲方向乙方移交租赁物业之日起，到甲方收回租赁物业之日止，由乙方承担；且甲乙双方应在本合同签订之同时另行签订《消防安全责任书》</w:t>
      </w:r>
      <w:r>
        <w:rPr>
          <w:rFonts w:ascii="仿宋" w:hAnsi="仿宋" w:eastAsia="仿宋"/>
          <w:sz w:val="28"/>
          <w:szCs w:val="28"/>
        </w:rPr>
        <w:t>。</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8租赁期内，租赁物业内所有设备设施</w:t>
      </w:r>
      <w:r>
        <w:rPr>
          <w:rFonts w:ascii="仿宋" w:hAnsi="仿宋" w:eastAsia="仿宋"/>
          <w:sz w:val="28"/>
          <w:szCs w:val="28"/>
        </w:rPr>
        <w:t>(包括但不</w:t>
      </w:r>
      <w:r>
        <w:rPr>
          <w:rFonts w:hint="eastAsia" w:ascii="仿宋" w:hAnsi="仿宋" w:eastAsia="仿宋"/>
          <w:sz w:val="28"/>
          <w:szCs w:val="28"/>
        </w:rPr>
        <w:t>限</w:t>
      </w:r>
      <w:r>
        <w:rPr>
          <w:rFonts w:ascii="仿宋" w:hAnsi="仿宋" w:eastAsia="仿宋"/>
          <w:sz w:val="28"/>
          <w:szCs w:val="28"/>
        </w:rPr>
        <w:t>于：甲方移交的消防设备及防火设施、电梯等、</w:t>
      </w:r>
      <w:r>
        <w:rPr>
          <w:rFonts w:hint="eastAsia" w:ascii="仿宋" w:hAnsi="仿宋" w:eastAsia="仿宋"/>
          <w:sz w:val="28"/>
          <w:szCs w:val="28"/>
        </w:rPr>
        <w:t>以及</w:t>
      </w:r>
      <w:r>
        <w:rPr>
          <w:rFonts w:ascii="仿宋" w:hAnsi="仿宋" w:eastAsia="仿宋"/>
          <w:sz w:val="28"/>
          <w:szCs w:val="28"/>
        </w:rPr>
        <w:t>乙方自行添置设备设施等)的维</w:t>
      </w:r>
      <w:r>
        <w:rPr>
          <w:rFonts w:hint="eastAsia" w:ascii="仿宋" w:hAnsi="仿宋" w:eastAsia="仿宋"/>
          <w:sz w:val="28"/>
          <w:szCs w:val="28"/>
        </w:rPr>
        <w:t>护、保养、运作、年检由乙方负责，费用由乙方承担。乙方有义务保证上述设备设施在租赁期限内处于良好和适用的状态，并通过主管部门的安检、年检等。对于甲方移交给乙方租赁物业内的设备及管道、电线等设备设施，乙方有义务不定期地进行检查，一旦发现任何危险或隐患，应及时予以排除并通知甲方。在本租赁合同终止或解除时，乙方交回租赁物业时，必须保证所有设备设施运转正常、年检、安检有效。</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9租赁期内，如因乙方的责任或过错导致甲方或任何其他第三方遭受的任何损失，或人身伤害</w:t>
      </w:r>
      <w:r>
        <w:rPr>
          <w:rFonts w:ascii="仿宋" w:hAnsi="仿宋" w:eastAsia="仿宋"/>
          <w:sz w:val="28"/>
          <w:szCs w:val="28"/>
        </w:rPr>
        <w:t>(包括但</w:t>
      </w:r>
      <w:r>
        <w:rPr>
          <w:rFonts w:hint="eastAsia" w:ascii="仿宋" w:hAnsi="仿宋" w:eastAsia="仿宋"/>
          <w:sz w:val="28"/>
          <w:szCs w:val="28"/>
        </w:rPr>
        <w:t>不</w:t>
      </w:r>
      <w:r>
        <w:rPr>
          <w:rFonts w:ascii="仿宋" w:hAnsi="仿宋" w:eastAsia="仿宋"/>
          <w:sz w:val="28"/>
          <w:szCs w:val="28"/>
        </w:rPr>
        <w:t>限于：租赁物业内发生火灾，从乙方租赁物业内的任何地方向甲方或第三方的区域内溢水或漏水，爆炸，乙方租赁物业内的害虫或有害等)，均全部由乙方负责赔偿；且甲方还有权根据本合同第1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7</w:t>
      </w:r>
      <w:r>
        <w:rPr>
          <w:rFonts w:ascii="仿宋" w:hAnsi="仿宋" w:eastAsia="仿宋"/>
          <w:sz w:val="28"/>
          <w:szCs w:val="28"/>
        </w:rPr>
        <w:t>条的规定追究乙方的违约责任。</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10乙方如需在租赁物业的任何部位</w:t>
      </w:r>
      <w:r>
        <w:rPr>
          <w:rFonts w:ascii="仿宋" w:hAnsi="仿宋" w:eastAsia="仿宋"/>
          <w:sz w:val="28"/>
          <w:szCs w:val="28"/>
        </w:rPr>
        <w:t>(包括但不限于：外墙、顶端等)、或与租赁物业相连或周边的公用场地、附属设施、相邻建筑物上设置</w:t>
      </w:r>
      <w:r>
        <w:rPr>
          <w:rFonts w:hint="eastAsia" w:ascii="仿宋" w:hAnsi="仿宋" w:eastAsia="仿宋"/>
          <w:sz w:val="28"/>
          <w:szCs w:val="28"/>
        </w:rPr>
        <w:t>店铺</w:t>
      </w:r>
      <w:r>
        <w:rPr>
          <w:rFonts w:ascii="仿宋" w:hAnsi="仿宋" w:eastAsia="仿宋"/>
          <w:sz w:val="28"/>
          <w:szCs w:val="28"/>
        </w:rPr>
        <w:t>招牌</w:t>
      </w:r>
      <w:r>
        <w:rPr>
          <w:rFonts w:hint="eastAsia" w:ascii="仿宋" w:hAnsi="仿宋" w:eastAsia="仿宋"/>
          <w:sz w:val="28"/>
          <w:szCs w:val="28"/>
        </w:rPr>
        <w:t>或广告的</w:t>
      </w:r>
      <w:r>
        <w:rPr>
          <w:rFonts w:ascii="仿宋" w:hAnsi="仿宋" w:eastAsia="仿宋"/>
          <w:sz w:val="28"/>
          <w:szCs w:val="28"/>
        </w:rPr>
        <w:t>，不得影响相邻或周边其他业主、承租户的正常经营</w:t>
      </w:r>
      <w:r>
        <w:rPr>
          <w:rFonts w:hint="eastAsia" w:ascii="仿宋" w:hAnsi="仿宋" w:eastAsia="仿宋"/>
          <w:sz w:val="28"/>
          <w:szCs w:val="28"/>
        </w:rPr>
        <w:t>，且使用区域须报经甲方书面同意。相关政府审批、</w:t>
      </w:r>
      <w:r>
        <w:rPr>
          <w:rFonts w:ascii="仿宋" w:hAnsi="仿宋" w:eastAsia="仿宋"/>
          <w:sz w:val="28"/>
          <w:szCs w:val="28"/>
        </w:rPr>
        <w:t>备案手续以及与相邻或周边其他业主、承租户的关系协调等</w:t>
      </w:r>
      <w:r>
        <w:rPr>
          <w:rFonts w:hint="eastAsia" w:ascii="仿宋" w:hAnsi="仿宋" w:eastAsia="仿宋"/>
          <w:sz w:val="28"/>
          <w:szCs w:val="28"/>
        </w:rPr>
        <w:t>由乙方自行负责。</w:t>
      </w:r>
      <w:r>
        <w:rPr>
          <w:rFonts w:ascii="仿宋" w:hAnsi="仿宋" w:eastAsia="仿宋"/>
          <w:sz w:val="28"/>
          <w:szCs w:val="28"/>
        </w:rPr>
        <w:t>乙方需确保招牌</w:t>
      </w:r>
      <w:r>
        <w:rPr>
          <w:rFonts w:hint="eastAsia" w:ascii="仿宋" w:hAnsi="仿宋" w:eastAsia="仿宋"/>
          <w:sz w:val="28"/>
          <w:szCs w:val="28"/>
        </w:rPr>
        <w:t>或广告</w:t>
      </w:r>
      <w:r>
        <w:rPr>
          <w:rFonts w:ascii="仿宋" w:hAnsi="仿宋" w:eastAsia="仿宋"/>
          <w:sz w:val="28"/>
          <w:szCs w:val="28"/>
        </w:rPr>
        <w:t>架设</w:t>
      </w:r>
      <w:r>
        <w:rPr>
          <w:rFonts w:hint="eastAsia" w:ascii="仿宋" w:hAnsi="仿宋" w:eastAsia="仿宋"/>
          <w:sz w:val="28"/>
          <w:szCs w:val="28"/>
        </w:rPr>
        <w:t>合理、安置稳固、电路安全，如发生招牌或广告坠落或电路起火或其他任何安全事故，一切责任均由乙方承担。</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1租赁物业的公用事业及配套设施（包括但不限于：水、电、气、空调、电话、网络、电视等</w:t>
      </w:r>
      <w:r>
        <w:rPr>
          <w:rFonts w:ascii="仿宋" w:hAnsi="仿宋" w:eastAsia="仿宋"/>
          <w:sz w:val="28"/>
          <w:szCs w:val="28"/>
        </w:rPr>
        <w:t>)的供应、使用，以及租赁物业的出入口、疏散通道、交通、装卸货平台（如需要）、电梯、停车场(位)、配电间、</w:t>
      </w:r>
      <w:r>
        <w:rPr>
          <w:rFonts w:hint="eastAsia" w:ascii="仿宋" w:hAnsi="仿宋" w:eastAsia="仿宋"/>
          <w:sz w:val="28"/>
          <w:szCs w:val="28"/>
        </w:rPr>
        <w:t>垃圾及污水处理等问题，均由乙方自行解决，自担费用，甲方概不负责。</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租赁物业不得整体转租，</w:t>
      </w:r>
      <w:r>
        <w:rPr>
          <w:rFonts w:hint="eastAsia" w:ascii="仿宋" w:hAnsi="仿宋" w:eastAsia="仿宋"/>
          <w:sz w:val="28"/>
          <w:szCs w:val="28"/>
        </w:rPr>
        <w:t>但甲方允许乙方进行部分的</w:t>
      </w:r>
      <w:r>
        <w:rPr>
          <w:rFonts w:ascii="仿宋" w:hAnsi="仿宋" w:eastAsia="仿宋"/>
          <w:sz w:val="28"/>
          <w:szCs w:val="28"/>
        </w:rPr>
        <w:t>转</w:t>
      </w:r>
      <w:r>
        <w:rPr>
          <w:rFonts w:hint="eastAsia" w:ascii="仿宋" w:hAnsi="仿宋" w:eastAsia="仿宋"/>
          <w:sz w:val="28"/>
          <w:szCs w:val="28"/>
        </w:rPr>
        <w:t>租、分租及</w:t>
      </w:r>
      <w:r>
        <w:rPr>
          <w:rFonts w:ascii="仿宋" w:hAnsi="仿宋" w:eastAsia="仿宋"/>
          <w:sz w:val="28"/>
          <w:szCs w:val="28"/>
        </w:rPr>
        <w:t>联营</w:t>
      </w:r>
      <w:r>
        <w:rPr>
          <w:rFonts w:hint="eastAsia" w:ascii="仿宋" w:hAnsi="仿宋" w:eastAsia="仿宋"/>
          <w:sz w:val="28"/>
          <w:szCs w:val="28"/>
        </w:rPr>
        <w:t>，但转租合同必须报备甲方，另转租合同中必须明确约定，如双方有违约行为或其它纠葛，不得影响甲方在本合同的所有权益。</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3租赁物业周边道路交通、四邻关系、政府大型活动征用、市政工程等原因导致乙方停业、歇业、交通不便等现象，由乙方自行协调相关部门解决，甲方概不负责。</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4租赁物业内如有疏散通道，如遇到相关情况</w:t>
      </w:r>
      <w:r>
        <w:rPr>
          <w:rFonts w:ascii="仿宋" w:hAnsi="仿宋" w:eastAsia="仿宋"/>
          <w:sz w:val="28"/>
          <w:szCs w:val="28"/>
        </w:rPr>
        <w:t>(如：大型活动、或其他情况)政府要求提供疏散通道</w:t>
      </w:r>
      <w:r>
        <w:rPr>
          <w:rFonts w:hint="eastAsia" w:ascii="仿宋" w:hAnsi="仿宋" w:eastAsia="仿宋"/>
          <w:sz w:val="28"/>
          <w:szCs w:val="28"/>
        </w:rPr>
        <w:t>或临时关门歇业</w:t>
      </w:r>
      <w:r>
        <w:rPr>
          <w:rFonts w:ascii="仿宋" w:hAnsi="仿宋" w:eastAsia="仿宋"/>
          <w:sz w:val="28"/>
          <w:szCs w:val="28"/>
        </w:rPr>
        <w:t>时，乙方必须无条件服从政府要求，立即腾出相应的位置、面积、空间作为疏散用途</w:t>
      </w:r>
      <w:r>
        <w:rPr>
          <w:rFonts w:hint="eastAsia" w:ascii="仿宋" w:hAnsi="仿宋" w:eastAsia="仿宋"/>
          <w:sz w:val="28"/>
          <w:szCs w:val="28"/>
        </w:rPr>
        <w:t>或临时关门</w:t>
      </w:r>
      <w:r>
        <w:rPr>
          <w:rFonts w:ascii="仿宋" w:hAnsi="仿宋" w:eastAsia="仿宋"/>
          <w:sz w:val="28"/>
          <w:szCs w:val="28"/>
        </w:rPr>
        <w:t>。乙方不得因此要求甲方减免费用、给予赔偿或补偿、或提出任何其他要求：但乙方在装修及经营时即应自行充分注意上述情况的存在，并自行采取妥善措施以便及时应对政府要求的疏散之需。</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5租赁期内，如政府要求或甲方需要将有关电缆、管道、线路等接入或通过租赁物业内，乙方应予配合，并提供相应的便利，且不得要求收取费用；但甲方在进行上述施工时，应尽量避免对乙方的装修及设备设施的损坏，确实无法避免的，甲方须尽快修复。</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6</w:t>
      </w:r>
      <w:r>
        <w:rPr>
          <w:rFonts w:ascii="仿宋" w:hAnsi="仿宋" w:eastAsia="仿宋"/>
          <w:sz w:val="28"/>
          <w:szCs w:val="28"/>
        </w:rPr>
        <w:t>租赁期内，为确保乙方对租赁物业的安全使用，避免租赁物业及进入租赁物业的第三人因乙方的过错行为而遭受损失</w:t>
      </w:r>
      <w:r>
        <w:rPr>
          <w:rFonts w:hint="eastAsia" w:ascii="仿宋" w:hAnsi="仿宋" w:eastAsia="仿宋"/>
          <w:sz w:val="28"/>
          <w:szCs w:val="28"/>
        </w:rPr>
        <w:t>、</w:t>
      </w:r>
      <w:r>
        <w:rPr>
          <w:rFonts w:ascii="仿宋" w:hAnsi="仿宋" w:eastAsia="仿宋"/>
          <w:sz w:val="28"/>
          <w:szCs w:val="28"/>
        </w:rPr>
        <w:t>伤害，乙方有义务足额投保相应的保险，并自行承担保险费用，</w:t>
      </w:r>
      <w:r>
        <w:rPr>
          <w:rFonts w:hint="eastAsia" w:ascii="仿宋" w:hAnsi="仿宋" w:eastAsia="仿宋"/>
          <w:sz w:val="28"/>
          <w:szCs w:val="28"/>
        </w:rPr>
        <w:t>并</w:t>
      </w:r>
      <w:r>
        <w:rPr>
          <w:rFonts w:ascii="仿宋" w:hAnsi="仿宋" w:eastAsia="仿宋"/>
          <w:sz w:val="28"/>
          <w:szCs w:val="28"/>
        </w:rPr>
        <w:t>且及时将保险单原件交甲方验证，并留存保险单复印件</w:t>
      </w:r>
      <w:r>
        <w:rPr>
          <w:rFonts w:hint="eastAsia" w:ascii="仿宋" w:hAnsi="仿宋" w:eastAsia="仿宋"/>
          <w:sz w:val="28"/>
          <w:szCs w:val="28"/>
        </w:rPr>
        <w:t>以供甲方备案。</w:t>
      </w:r>
    </w:p>
    <w:p>
      <w:pPr>
        <w:ind w:firstLine="560"/>
        <w:rPr>
          <w:rFonts w:ascii="仿宋" w:hAnsi="仿宋" w:eastAsia="仿宋"/>
          <w:sz w:val="28"/>
          <w:szCs w:val="28"/>
        </w:rPr>
      </w:pPr>
      <w:r>
        <w:rPr>
          <w:rFonts w:hint="eastAsia" w:ascii="仿宋" w:hAnsi="仿宋" w:eastAsia="仿宋"/>
          <w:sz w:val="28"/>
          <w:szCs w:val="28"/>
        </w:rPr>
        <w:t>12.17租赁期内，对于品牌连锁店招商乙方在引入品牌店后，按照签约面积，给予乙方该面积区域免租优惠政策。具体支持政策如下：乙方引入的全国性著名连锁品牌（全国20家以上）或长沙著名本土10家连锁店以上的品牌，且租赁合同面积在200㎡以上的，甲方在12个月免租期外额外给予乙方该区域2个月免租。乙方引入的全国性著名连锁品牌（全国10家以上）或长沙著名本土有5家连锁店以上的品牌，且租赁面积在200㎡以上的，甲方在12个月免租期外额外给予乙方该区域1个月免租。）免租期内乙方仍需承担8元/㎡/月的空调能耗费，该项免租政策需乙方引入的品牌商户开业后，凭双方租赁合同向甲方申请后按公司流程执行。（具体该免租政策符合条件的品牌在以甲方提供的《西中心T3裙楼品牌政策支持清单》为准，享受品牌引入额外免租区域的累计面积不超过总租赁面积的50%）</w:t>
      </w:r>
    </w:p>
    <w:p>
      <w:pPr>
        <w:ind w:firstLine="56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12.18租赁期内，对停车费优惠支持，租赁期前2年凭乙方商场停车小票免费停车4小时，超出部分由顾客自行承担。第三年起凭乙方商场停车小票免费停车3小时，超出部分由顾客自行承担。</w:t>
      </w:r>
    </w:p>
    <w:p>
      <w:pPr>
        <w:ind w:firstLine="56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12.19租赁期内，对于外墙使用约定，甲方物业四周墙面广告使用权，包括T3裙楼的电子屏、广告喷绘等由乙方制定方案报甲方审批后，自行使用并承担政府报批手续及日常运维费用；此区域仅限发布本商场相关的宣传活动和商场内品牌广告，乙方不得对外出租。</w:t>
      </w:r>
    </w:p>
    <w:p>
      <w:pPr>
        <w:ind w:firstLine="56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12.20租赁期内，对于外场使用约定，甲方红线范围内的外场区域如需使用，由乙方负责投资改造维护，方案需到甲方审批并符合消防规定及取得城管审批同意，此区域仅限发布本商场相关的宣传活动和商场内品牌广告，乙方不对外出租。。若是与其他业主共用外场区域，乙方需取得其他共用业主的书面同意。</w:t>
      </w:r>
    </w:p>
    <w:p>
      <w:pPr>
        <w:rPr>
          <w:rFonts w:ascii="仿宋" w:hAnsi="仿宋" w:eastAsia="仿宋"/>
          <w:b/>
          <w:sz w:val="28"/>
          <w:szCs w:val="28"/>
        </w:rPr>
      </w:pPr>
      <w:r>
        <w:rPr>
          <w:rFonts w:hint="eastAsia" w:ascii="仿宋" w:hAnsi="仿宋" w:eastAsia="仿宋"/>
          <w:b/>
          <w:sz w:val="28"/>
          <w:szCs w:val="28"/>
        </w:rPr>
        <w:t>第十三</w:t>
      </w:r>
      <w:r>
        <w:rPr>
          <w:rFonts w:ascii="仿宋" w:hAnsi="仿宋" w:eastAsia="仿宋"/>
          <w:b/>
          <w:sz w:val="28"/>
          <w:szCs w:val="28"/>
        </w:rPr>
        <w:t>条租赁物业的维修</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t>.1租赁期内，乙方应负责租赁物业的日常检查、维护，维修，保证租赁物业在租赁期限内处于良好和适用的状</w:t>
      </w:r>
      <w:r>
        <w:rPr>
          <w:rFonts w:hint="eastAsia" w:ascii="仿宋" w:hAnsi="仿宋" w:eastAsia="仿宋"/>
          <w:sz w:val="28"/>
          <w:szCs w:val="28"/>
        </w:rPr>
        <w:t>态，并承担相应的检查、维护、维修费用。为避免疑义，双方进一步明确：除租赁房屋主体结构安全由甲方负责维护、维修外，其他一切检查、维护、维修（包括但不限于房屋漏水、渗水等）均由乙方负责并承担费用。</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t>.2</w:t>
      </w:r>
      <w:r>
        <w:rPr>
          <w:rFonts w:hint="eastAsia" w:ascii="仿宋" w:hAnsi="仿宋" w:eastAsia="仿宋"/>
          <w:sz w:val="28"/>
          <w:szCs w:val="28"/>
        </w:rPr>
        <w:t>租赁</w:t>
      </w:r>
      <w:r>
        <w:rPr>
          <w:rFonts w:ascii="仿宋" w:hAnsi="仿宋" w:eastAsia="仿宋"/>
          <w:sz w:val="28"/>
          <w:szCs w:val="28"/>
        </w:rPr>
        <w:t>期内，甲方有权随时对租赁物业及附属设施、设备的状况进行检查并在发现异常时要求乙方限期维修</w:t>
      </w:r>
      <w:r>
        <w:rPr>
          <w:rFonts w:hint="eastAsia" w:ascii="仿宋" w:hAnsi="仿宋" w:eastAsia="仿宋"/>
          <w:sz w:val="28"/>
          <w:szCs w:val="28"/>
        </w:rPr>
        <w:t>；</w:t>
      </w:r>
      <w:r>
        <w:rPr>
          <w:rFonts w:ascii="仿宋" w:hAnsi="仿宋" w:eastAsia="仿宋"/>
          <w:sz w:val="28"/>
          <w:szCs w:val="28"/>
        </w:rPr>
        <w:t>但甲方在对租赁物业及附属设施、设备的状况进行检查时，应尽可能避免或减少对乙方的正常经营造成不利影响。</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t>.3虽有上述第1</w:t>
      </w:r>
      <w:r>
        <w:rPr>
          <w:rFonts w:hint="eastAsia" w:ascii="仿宋" w:hAnsi="仿宋" w:eastAsia="仿宋"/>
          <w:sz w:val="28"/>
          <w:szCs w:val="28"/>
        </w:rPr>
        <w:t>3</w:t>
      </w:r>
      <w:r>
        <w:rPr>
          <w:rFonts w:ascii="仿宋" w:hAnsi="仿宋" w:eastAsia="仿宋"/>
          <w:sz w:val="28"/>
          <w:szCs w:val="28"/>
        </w:rPr>
        <w:t>.1条之约定，租赁期间，如因不可抗力而导致租赁物业的全部或部分变得不能</w:t>
      </w:r>
      <w:r>
        <w:rPr>
          <w:rFonts w:hint="eastAsia" w:ascii="仿宋" w:hAnsi="仿宋" w:eastAsia="仿宋"/>
          <w:sz w:val="28"/>
          <w:szCs w:val="28"/>
        </w:rPr>
        <w:t>使</w:t>
      </w:r>
      <w:r>
        <w:rPr>
          <w:rFonts w:ascii="仿宋" w:hAnsi="仿宋" w:eastAsia="仿宋"/>
          <w:sz w:val="28"/>
          <w:szCs w:val="28"/>
        </w:rPr>
        <w:t>用、不能修复或修复成本过高，可不予修复且不承担违约责任。届时是否继续履行本合同、是否需对本合同进行变更，由甲乙双方另行协商。</w:t>
      </w:r>
    </w:p>
    <w:p>
      <w:pPr>
        <w:rPr>
          <w:rFonts w:ascii="仿宋" w:hAnsi="仿宋" w:eastAsia="仿宋"/>
          <w:b/>
          <w:sz w:val="28"/>
          <w:szCs w:val="28"/>
        </w:rPr>
      </w:pPr>
      <w:r>
        <w:rPr>
          <w:rFonts w:hint="eastAsia" w:ascii="仿宋" w:hAnsi="仿宋" w:eastAsia="仿宋"/>
          <w:b/>
          <w:sz w:val="28"/>
          <w:szCs w:val="28"/>
        </w:rPr>
        <w:t>第十四</w:t>
      </w:r>
      <w:r>
        <w:rPr>
          <w:rFonts w:ascii="仿宋" w:hAnsi="仿宋" w:eastAsia="仿宋"/>
          <w:b/>
          <w:sz w:val="28"/>
          <w:szCs w:val="28"/>
        </w:rPr>
        <w:t>条租赁物业的转让、抵押</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w:t>
      </w:r>
      <w:r>
        <w:rPr>
          <w:rFonts w:ascii="仿宋" w:hAnsi="仿宋" w:eastAsia="仿宋"/>
          <w:sz w:val="28"/>
          <w:szCs w:val="28"/>
        </w:rPr>
        <w:t xml:space="preserve">.1  </w:t>
      </w:r>
      <w:r>
        <w:rPr>
          <w:rFonts w:hint="eastAsia" w:ascii="仿宋" w:hAnsi="仿宋" w:eastAsia="仿宋"/>
          <w:sz w:val="28"/>
          <w:szCs w:val="28"/>
        </w:rPr>
        <w:t>租赁期内，甲方有权将租赁物业的全部或部分产权转让予第三方，但应提前三个月书面通知乙方。</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w:t>
      </w:r>
      <w:r>
        <w:rPr>
          <w:rFonts w:ascii="仿宋" w:hAnsi="仿宋" w:eastAsia="仿宋"/>
          <w:sz w:val="28"/>
          <w:szCs w:val="28"/>
        </w:rPr>
        <w:t xml:space="preserve">.2  </w:t>
      </w:r>
      <w:r>
        <w:rPr>
          <w:rFonts w:hint="eastAsia" w:ascii="仿宋" w:hAnsi="仿宋" w:eastAsia="仿宋"/>
          <w:sz w:val="28"/>
          <w:szCs w:val="28"/>
        </w:rPr>
        <w:t>租赁期内，如甲方将租赁物业的全部产权或部分产权转让予第三方，乙方在同等条件下享有优先购买权。但乙方应在收到甲方发出的，关于是否行使租赁物业转让优先购买权的通知之日起壹个月内，以书面方式表明是否行使同等条件下的优先购买权；逾期未予书面答复或者超过期限答复的，均视为放弃同等条件下的优先购买权。</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w:t>
      </w:r>
      <w:r>
        <w:rPr>
          <w:rFonts w:ascii="仿宋" w:hAnsi="仿宋" w:eastAsia="仿宋"/>
          <w:sz w:val="28"/>
          <w:szCs w:val="28"/>
        </w:rPr>
        <w:t xml:space="preserve">.3  </w:t>
      </w:r>
      <w:r>
        <w:rPr>
          <w:rFonts w:hint="eastAsia" w:ascii="仿宋" w:hAnsi="仿宋" w:eastAsia="仿宋"/>
          <w:sz w:val="28"/>
          <w:szCs w:val="28"/>
        </w:rPr>
        <w:t>租赁期内，除非甲方已向乙方发出书面通知，告知其：甲方决定与乙方解除本合同，否则，乙方不得以甲方已经或将要与第三方就租赁物业的转让事宜进行接洽、协商、谈判、签约为由，而要求解除本合同，亦不得以此为由拒付、延付费用或不予履行／拖延履行本合同项下的其他任何义务。</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4租赁期内，甲方有权将租赁物业的全部产权或部分产权抵押予第三方，而无须事先告知乙方。</w:t>
      </w:r>
    </w:p>
    <w:p>
      <w:pPr>
        <w:ind w:firstLine="560"/>
        <w:rPr>
          <w:rFonts w:ascii="仿宋" w:hAnsi="仿宋" w:eastAsia="仿宋"/>
          <w:sz w:val="28"/>
          <w:szCs w:val="28"/>
        </w:rPr>
      </w:pPr>
      <w:r>
        <w:rPr>
          <w:rFonts w:hint="eastAsia" w:ascii="仿宋" w:hAnsi="仿宋" w:eastAsia="仿宋"/>
          <w:sz w:val="28"/>
          <w:szCs w:val="28"/>
        </w:rPr>
        <w:t>14.5乙方在标的房屋地独资或合资成立经营公司（以下简称“新公司”）使用承租房屋的，本租赁合同中乙方的权利、义务将全部转让给成立后的新公司、甲方与乙方可不再另行签订转让协议。但乙方对新公司在本租赁合同及相关协议项下的义务及责任，向甲方提供连带责任保证担保，保证期间为租赁期限届满后两年。</w:t>
      </w:r>
    </w:p>
    <w:p>
      <w:pPr>
        <w:rPr>
          <w:rFonts w:ascii="仿宋" w:hAnsi="仿宋" w:eastAsia="仿宋"/>
          <w:b/>
          <w:sz w:val="28"/>
          <w:szCs w:val="28"/>
        </w:rPr>
      </w:pPr>
      <w:r>
        <w:rPr>
          <w:rFonts w:hint="eastAsia" w:ascii="仿宋" w:hAnsi="仿宋" w:eastAsia="仿宋"/>
          <w:b/>
          <w:sz w:val="28"/>
          <w:szCs w:val="28"/>
        </w:rPr>
        <w:t>第十五</w:t>
      </w:r>
      <w:r>
        <w:rPr>
          <w:rFonts w:ascii="仿宋" w:hAnsi="仿宋" w:eastAsia="仿宋"/>
          <w:b/>
          <w:sz w:val="28"/>
          <w:szCs w:val="28"/>
        </w:rPr>
        <w:t>条保密</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．1在租赁期限内，甲乙双方应对与本合同及任何一方有关事宜保密，不得将在本合同</w:t>
      </w:r>
      <w:r>
        <w:rPr>
          <w:rFonts w:hint="eastAsia" w:ascii="仿宋" w:hAnsi="仿宋" w:eastAsia="仿宋"/>
          <w:sz w:val="28"/>
          <w:szCs w:val="28"/>
        </w:rPr>
        <w:t>谈判期间以及本合同履行期间所获得的对方的任何保密资料泄露给任何第三方，但下列事项除外：</w:t>
      </w:r>
    </w:p>
    <w:p>
      <w:pPr>
        <w:ind w:firstLine="560"/>
        <w:rPr>
          <w:rFonts w:ascii="仿宋" w:hAnsi="仿宋" w:eastAsia="仿宋"/>
          <w:sz w:val="28"/>
          <w:szCs w:val="28"/>
        </w:rPr>
      </w:pPr>
      <w:r>
        <w:rPr>
          <w:rFonts w:hint="eastAsia" w:ascii="仿宋" w:hAnsi="仿宋" w:eastAsia="仿宋"/>
          <w:sz w:val="28"/>
          <w:szCs w:val="28"/>
        </w:rPr>
        <w:t>a)甲乙任何一方基于配合中国司法机关或行政机关调查而向上述机关披露；</w:t>
      </w:r>
    </w:p>
    <w:p>
      <w:pPr>
        <w:ind w:firstLine="560"/>
        <w:rPr>
          <w:rFonts w:ascii="仿宋" w:hAnsi="仿宋" w:eastAsia="仿宋"/>
          <w:sz w:val="28"/>
          <w:szCs w:val="28"/>
        </w:rPr>
      </w:pPr>
      <w:r>
        <w:rPr>
          <w:rFonts w:ascii="仿宋" w:hAnsi="仿宋" w:eastAsia="仿宋"/>
          <w:sz w:val="28"/>
          <w:szCs w:val="28"/>
        </w:rPr>
        <w:t xml:space="preserve">b)  </w:t>
      </w:r>
      <w:r>
        <w:rPr>
          <w:rFonts w:hint="eastAsia" w:ascii="仿宋" w:hAnsi="仿宋" w:eastAsia="仿宋"/>
          <w:sz w:val="28"/>
          <w:szCs w:val="28"/>
        </w:rPr>
        <w:t>甲乙任何一方基于履行接受国有资产监管义务的需要，而将该等资料向国有资产监管部门披露；</w:t>
      </w:r>
    </w:p>
    <w:p>
      <w:pPr>
        <w:ind w:firstLine="560"/>
        <w:rPr>
          <w:rFonts w:ascii="仿宋" w:hAnsi="仿宋" w:eastAsia="仿宋"/>
          <w:sz w:val="28"/>
          <w:szCs w:val="28"/>
        </w:rPr>
      </w:pPr>
      <w:r>
        <w:rPr>
          <w:rFonts w:ascii="仿宋" w:hAnsi="仿宋" w:eastAsia="仿宋"/>
          <w:sz w:val="28"/>
          <w:szCs w:val="28"/>
        </w:rPr>
        <w:t xml:space="preserve">c)  </w:t>
      </w:r>
      <w:r>
        <w:rPr>
          <w:rFonts w:hint="eastAsia" w:ascii="仿宋" w:hAnsi="仿宋" w:eastAsia="仿宋"/>
          <w:sz w:val="28"/>
          <w:szCs w:val="28"/>
        </w:rPr>
        <w:t>甲乙任何一方基于商业运营的需要，向其母公司或关联公司及其高级管理人员披露;</w:t>
      </w:r>
    </w:p>
    <w:p>
      <w:pPr>
        <w:ind w:firstLine="560"/>
        <w:rPr>
          <w:rFonts w:ascii="仿宋" w:hAnsi="仿宋" w:eastAsia="仿宋"/>
          <w:sz w:val="28"/>
          <w:szCs w:val="28"/>
        </w:rPr>
      </w:pPr>
      <w:r>
        <w:rPr>
          <w:rFonts w:hint="eastAsia" w:ascii="仿宋" w:hAnsi="仿宋" w:eastAsia="仿宋"/>
          <w:sz w:val="28"/>
          <w:szCs w:val="28"/>
        </w:rPr>
        <w:t>d</w:t>
      </w:r>
      <w:r>
        <w:rPr>
          <w:rFonts w:ascii="仿宋" w:hAnsi="仿宋" w:eastAsia="仿宋"/>
          <w:sz w:val="28"/>
          <w:szCs w:val="28"/>
        </w:rPr>
        <w:t>)</w:t>
      </w:r>
      <w:r>
        <w:rPr>
          <w:rFonts w:hint="eastAsia" w:ascii="仿宋" w:hAnsi="仿宋" w:eastAsia="仿宋"/>
          <w:sz w:val="28"/>
          <w:szCs w:val="28"/>
        </w:rPr>
        <w:t xml:space="preserve"> 按届时适用强制性法规的规定或深圳证券交易所、上海证券交易所、香港联合交易所有限公司等类似机构的规则或条例须披露之资料；</w:t>
      </w:r>
    </w:p>
    <w:p>
      <w:pPr>
        <w:ind w:firstLine="560"/>
        <w:rPr>
          <w:rFonts w:ascii="仿宋" w:hAnsi="仿宋" w:eastAsia="仿宋"/>
          <w:sz w:val="28"/>
          <w:szCs w:val="28"/>
        </w:rPr>
      </w:pPr>
      <w:r>
        <w:rPr>
          <w:rFonts w:hint="eastAsia" w:ascii="仿宋" w:hAnsi="仿宋" w:eastAsia="仿宋"/>
          <w:sz w:val="28"/>
          <w:szCs w:val="28"/>
        </w:rPr>
        <w:t>e）该等资料已正当地为公众所知悉。</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 xml:space="preserve">.2  </w:t>
      </w:r>
      <w:r>
        <w:rPr>
          <w:rFonts w:hint="eastAsia" w:ascii="仿宋" w:hAnsi="仿宋" w:eastAsia="仿宋"/>
          <w:sz w:val="28"/>
          <w:szCs w:val="28"/>
        </w:rPr>
        <w:t>甲乙双方也应促使其本身和其附属公司或关联公司的董事、职员和其他雇员遵守上述第</w:t>
      </w: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.1条规定的保密义务，并就此承担全部责任。</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 xml:space="preserve">.3  </w:t>
      </w:r>
      <w:r>
        <w:rPr>
          <w:rFonts w:hint="eastAsia" w:ascii="仿宋" w:hAnsi="仿宋" w:eastAsia="仿宋"/>
          <w:sz w:val="28"/>
          <w:szCs w:val="28"/>
        </w:rPr>
        <w:t>本合同第</w:t>
      </w:r>
      <w:r>
        <w:rPr>
          <w:rFonts w:ascii="仿宋" w:hAnsi="仿宋" w:eastAsia="仿宋"/>
          <w:sz w:val="28"/>
          <w:szCs w:val="28"/>
        </w:rPr>
        <w:t>1</w:t>
      </w:r>
      <w:r>
        <w:rPr>
          <w:rFonts w:hint="eastAsia" w:ascii="仿宋" w:hAnsi="仿宋" w:eastAsia="仿宋"/>
          <w:sz w:val="28"/>
          <w:szCs w:val="28"/>
        </w:rPr>
        <w:t>5</w:t>
      </w:r>
      <w:r>
        <w:rPr>
          <w:rFonts w:ascii="仿宋" w:hAnsi="仿宋" w:eastAsia="仿宋"/>
          <w:sz w:val="28"/>
          <w:szCs w:val="28"/>
        </w:rPr>
        <w:t>.1条、第1</w:t>
      </w:r>
      <w:r>
        <w:rPr>
          <w:rFonts w:hint="eastAsia" w:ascii="仿宋" w:hAnsi="仿宋" w:eastAsia="仿宋"/>
          <w:sz w:val="28"/>
          <w:szCs w:val="28"/>
        </w:rPr>
        <w:t>5</w:t>
      </w:r>
      <w:r>
        <w:rPr>
          <w:rFonts w:ascii="仿宋" w:hAnsi="仿宋" w:eastAsia="仿宋"/>
          <w:sz w:val="28"/>
          <w:szCs w:val="28"/>
        </w:rPr>
        <w:t>.2条之约定在本合同终止或解除后，仍然有效。</w:t>
      </w:r>
    </w:p>
    <w:p>
      <w:pPr>
        <w:rPr>
          <w:rFonts w:ascii="仿宋" w:hAnsi="仿宋" w:eastAsia="仿宋"/>
          <w:b/>
          <w:sz w:val="28"/>
          <w:szCs w:val="28"/>
        </w:rPr>
      </w:pPr>
      <w:r>
        <w:rPr>
          <w:rFonts w:hint="eastAsia" w:ascii="仿宋" w:hAnsi="仿宋" w:eastAsia="仿宋"/>
          <w:b/>
          <w:sz w:val="28"/>
          <w:szCs w:val="28"/>
        </w:rPr>
        <w:t>第十六</w:t>
      </w:r>
      <w:r>
        <w:rPr>
          <w:rFonts w:ascii="仿宋" w:hAnsi="仿宋" w:eastAsia="仿宋"/>
          <w:b/>
          <w:sz w:val="28"/>
          <w:szCs w:val="28"/>
        </w:rPr>
        <w:t>条本合同的终止、解除</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6</w:t>
      </w:r>
      <w:r>
        <w:rPr>
          <w:rFonts w:ascii="仿宋" w:hAnsi="仿宋" w:eastAsia="仿宋"/>
          <w:sz w:val="28"/>
          <w:szCs w:val="28"/>
        </w:rPr>
        <w:t xml:space="preserve">.1  </w:t>
      </w:r>
      <w:r>
        <w:rPr>
          <w:rFonts w:hint="eastAsia" w:ascii="仿宋" w:hAnsi="仿宋" w:eastAsia="仿宋"/>
          <w:sz w:val="28"/>
          <w:szCs w:val="28"/>
        </w:rPr>
        <w:t>本合同因合同期限届满而终止。</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6</w:t>
      </w:r>
      <w:r>
        <w:rPr>
          <w:rFonts w:ascii="仿宋" w:hAnsi="仿宋" w:eastAsia="仿宋"/>
          <w:sz w:val="28"/>
          <w:szCs w:val="28"/>
        </w:rPr>
        <w:t xml:space="preserve">.2  </w:t>
      </w:r>
      <w:r>
        <w:rPr>
          <w:rFonts w:hint="eastAsia" w:ascii="仿宋" w:hAnsi="仿宋" w:eastAsia="仿宋"/>
          <w:sz w:val="28"/>
          <w:szCs w:val="28"/>
        </w:rPr>
        <w:t>在本合同履行期限内，本合同可因下列任意之原因而解除；</w:t>
      </w:r>
    </w:p>
    <w:p>
      <w:pPr>
        <w:ind w:firstLine="560"/>
        <w:rPr>
          <w:rFonts w:ascii="仿宋" w:hAnsi="仿宋" w:eastAsia="仿宋"/>
          <w:sz w:val="28"/>
          <w:szCs w:val="28"/>
        </w:rPr>
      </w:pPr>
      <w:r>
        <w:rPr>
          <w:rFonts w:hint="eastAsia" w:ascii="仿宋" w:hAnsi="仿宋" w:eastAsia="仿宋"/>
          <w:sz w:val="28"/>
          <w:szCs w:val="28"/>
        </w:rPr>
        <w:t>a</w:t>
      </w:r>
      <w:r>
        <w:rPr>
          <w:rFonts w:ascii="仿宋" w:hAnsi="仿宋" w:eastAsia="仿宋"/>
          <w:sz w:val="28"/>
          <w:szCs w:val="28"/>
        </w:rPr>
        <w:t xml:space="preserve">)  </w:t>
      </w:r>
      <w:r>
        <w:rPr>
          <w:rFonts w:hint="eastAsia" w:ascii="仿宋" w:hAnsi="仿宋" w:eastAsia="仿宋"/>
          <w:sz w:val="28"/>
          <w:szCs w:val="28"/>
        </w:rPr>
        <w:t>甲乙双方协商一致，以书面方式解除本合同，在此情形下，合同解除之日由甲乙双方书面确定；</w:t>
      </w:r>
    </w:p>
    <w:p>
      <w:pPr>
        <w:ind w:firstLine="560"/>
        <w:rPr>
          <w:rFonts w:ascii="仿宋" w:hAnsi="仿宋" w:eastAsia="仿宋"/>
          <w:sz w:val="28"/>
          <w:szCs w:val="28"/>
        </w:rPr>
      </w:pPr>
      <w:r>
        <w:rPr>
          <w:rFonts w:hint="eastAsia" w:ascii="仿宋" w:hAnsi="仿宋" w:eastAsia="仿宋"/>
          <w:sz w:val="28"/>
          <w:szCs w:val="28"/>
        </w:rPr>
        <w:t>b</w:t>
      </w:r>
      <w:r>
        <w:rPr>
          <w:rFonts w:ascii="仿宋" w:hAnsi="仿宋" w:eastAsia="仿宋"/>
          <w:sz w:val="28"/>
          <w:szCs w:val="28"/>
        </w:rPr>
        <w:t xml:space="preserve">)  </w:t>
      </w:r>
      <w:r>
        <w:rPr>
          <w:rFonts w:hint="eastAsia" w:ascii="仿宋" w:hAnsi="仿宋" w:eastAsia="仿宋"/>
          <w:sz w:val="28"/>
          <w:szCs w:val="28"/>
        </w:rPr>
        <w:t>甲乙任何一方因不可抗力造成不能实现本合同之目的，或因此无法继续履行本合同，则该遭受不可抗力的一方，可按本合同第</w:t>
      </w:r>
      <w:r>
        <w:rPr>
          <w:rFonts w:ascii="仿宋" w:hAnsi="仿宋" w:eastAsia="仿宋"/>
          <w:sz w:val="28"/>
          <w:szCs w:val="28"/>
        </w:rPr>
        <w:t>2</w:t>
      </w:r>
      <w:r>
        <w:rPr>
          <w:rFonts w:hint="eastAsia" w:ascii="仿宋" w:hAnsi="仿宋" w:eastAsia="仿宋"/>
          <w:sz w:val="28"/>
          <w:szCs w:val="28"/>
        </w:rPr>
        <w:t>4</w:t>
      </w:r>
      <w:r>
        <w:rPr>
          <w:rFonts w:ascii="仿宋" w:hAnsi="仿宋" w:eastAsia="仿宋"/>
          <w:sz w:val="28"/>
          <w:szCs w:val="28"/>
        </w:rPr>
        <w:t>.2条规定的通知方式，书面通知对方解除本合同，并以通知送达对方之</w:t>
      </w:r>
      <w:r>
        <w:rPr>
          <w:rFonts w:hint="eastAsia" w:ascii="仿宋" w:hAnsi="仿宋" w:eastAsia="仿宋"/>
          <w:sz w:val="28"/>
          <w:szCs w:val="28"/>
        </w:rPr>
        <w:t>次日</w:t>
      </w:r>
      <w:r>
        <w:rPr>
          <w:rFonts w:ascii="仿宋" w:hAnsi="仿宋" w:eastAsia="仿宋"/>
          <w:sz w:val="28"/>
          <w:szCs w:val="28"/>
        </w:rPr>
        <w:t>为本合同解</w:t>
      </w:r>
      <w:r>
        <w:rPr>
          <w:rFonts w:hint="eastAsia" w:ascii="仿宋" w:hAnsi="仿宋" w:eastAsia="仿宋"/>
          <w:sz w:val="28"/>
          <w:szCs w:val="28"/>
        </w:rPr>
        <w:t>除之日；</w:t>
      </w:r>
    </w:p>
    <w:p>
      <w:pPr>
        <w:ind w:firstLine="560"/>
        <w:rPr>
          <w:rFonts w:ascii="仿宋" w:hAnsi="仿宋" w:eastAsia="仿宋"/>
          <w:sz w:val="28"/>
          <w:szCs w:val="28"/>
        </w:rPr>
      </w:pPr>
      <w:r>
        <w:rPr>
          <w:rFonts w:hint="eastAsia" w:ascii="仿宋" w:hAnsi="仿宋" w:eastAsia="仿宋"/>
          <w:sz w:val="28"/>
          <w:szCs w:val="28"/>
        </w:rPr>
        <w:t>c</w:t>
      </w:r>
      <w:r>
        <w:rPr>
          <w:rFonts w:ascii="仿宋" w:hAnsi="仿宋" w:eastAsia="仿宋"/>
          <w:sz w:val="28"/>
          <w:szCs w:val="28"/>
        </w:rPr>
        <w:t xml:space="preserve">)  </w:t>
      </w:r>
      <w:r>
        <w:rPr>
          <w:rFonts w:hint="eastAsia" w:ascii="仿宋" w:hAnsi="仿宋" w:eastAsia="仿宋"/>
          <w:sz w:val="28"/>
          <w:szCs w:val="28"/>
        </w:rPr>
        <w:t>甲乙任何一方发生依本合同约定对方可解除本合同的违约情形时，另一方根据本合同赋予的解除合同的权利，按本合同第</w:t>
      </w:r>
      <w:r>
        <w:rPr>
          <w:rFonts w:ascii="仿宋" w:hAnsi="仿宋" w:eastAsia="仿宋"/>
          <w:sz w:val="28"/>
          <w:szCs w:val="28"/>
        </w:rPr>
        <w:t>2</w:t>
      </w:r>
      <w:r>
        <w:rPr>
          <w:rFonts w:hint="eastAsia" w:ascii="仿宋" w:hAnsi="仿宋" w:eastAsia="仿宋"/>
          <w:sz w:val="28"/>
          <w:szCs w:val="28"/>
        </w:rPr>
        <w:t>4</w:t>
      </w:r>
      <w:r>
        <w:rPr>
          <w:rFonts w:ascii="仿宋" w:hAnsi="仿宋" w:eastAsia="仿宋"/>
          <w:sz w:val="28"/>
          <w:szCs w:val="28"/>
        </w:rPr>
        <w:t>.2条规定的通知方式，书面通知对方解除本合同，并以通知送达对方之次日为</w:t>
      </w:r>
      <w:r>
        <w:rPr>
          <w:rFonts w:hint="eastAsia" w:ascii="仿宋" w:hAnsi="仿宋" w:eastAsia="仿宋"/>
          <w:sz w:val="28"/>
          <w:szCs w:val="28"/>
        </w:rPr>
        <w:t>本合同解除之日。守约方可按照本合同其他条款的约定要求违约方承担相应违约责任。</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6</w:t>
      </w:r>
      <w:r>
        <w:rPr>
          <w:rFonts w:ascii="仿宋" w:hAnsi="仿宋" w:eastAsia="仿宋"/>
          <w:sz w:val="28"/>
          <w:szCs w:val="28"/>
        </w:rPr>
        <w:t>.3因上述第1</w:t>
      </w:r>
      <w:r>
        <w:rPr>
          <w:rFonts w:hint="eastAsia" w:ascii="仿宋" w:hAnsi="仿宋" w:eastAsia="仿宋"/>
          <w:sz w:val="28"/>
          <w:szCs w:val="28"/>
        </w:rPr>
        <w:t>6</w:t>
      </w:r>
      <w:r>
        <w:rPr>
          <w:rFonts w:ascii="仿宋" w:hAnsi="仿宋" w:eastAsia="仿宋"/>
          <w:sz w:val="28"/>
          <w:szCs w:val="28"/>
        </w:rPr>
        <w:t>.2条之规定而解除本合同，不影响任何一方因对方违反本合同的其他条款规定、而要求该违约方承担相应违约责任的权利。</w:t>
      </w:r>
    </w:p>
    <w:p>
      <w:pPr>
        <w:rPr>
          <w:rFonts w:ascii="仿宋" w:hAnsi="仿宋" w:eastAsia="仿宋"/>
          <w:b/>
          <w:sz w:val="28"/>
          <w:szCs w:val="28"/>
        </w:rPr>
      </w:pPr>
      <w:r>
        <w:rPr>
          <w:rFonts w:hint="eastAsia" w:ascii="仿宋" w:hAnsi="仿宋" w:eastAsia="仿宋"/>
          <w:b/>
          <w:sz w:val="28"/>
          <w:szCs w:val="28"/>
        </w:rPr>
        <w:t>第十七</w:t>
      </w:r>
      <w:r>
        <w:rPr>
          <w:rFonts w:ascii="仿宋" w:hAnsi="仿宋" w:eastAsia="仿宋"/>
          <w:b/>
          <w:sz w:val="28"/>
          <w:szCs w:val="28"/>
        </w:rPr>
        <w:t>条清场退租</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7</w:t>
      </w:r>
      <w:r>
        <w:rPr>
          <w:rFonts w:ascii="仿宋" w:hAnsi="仿宋" w:eastAsia="仿宋"/>
          <w:sz w:val="28"/>
          <w:szCs w:val="28"/>
        </w:rPr>
        <w:t xml:space="preserve">.1  </w:t>
      </w:r>
      <w:r>
        <w:rPr>
          <w:rFonts w:hint="eastAsia" w:ascii="仿宋" w:hAnsi="仿宋" w:eastAsia="仿宋"/>
          <w:sz w:val="28"/>
          <w:szCs w:val="28"/>
        </w:rPr>
        <w:t>本合同所指之“清场”，系指乙方清理、腾空并向甲方交还租赁物业；本合同所指之“退租”，系指甲乙双方解除、终止租赁合同。</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7</w:t>
      </w:r>
      <w:r>
        <w:rPr>
          <w:rFonts w:ascii="仿宋" w:hAnsi="仿宋" w:eastAsia="仿宋"/>
          <w:sz w:val="28"/>
          <w:szCs w:val="28"/>
        </w:rPr>
        <w:t xml:space="preserve">.2  </w:t>
      </w:r>
      <w:r>
        <w:rPr>
          <w:rFonts w:hint="eastAsia" w:ascii="仿宋" w:hAnsi="仿宋" w:eastAsia="仿宋"/>
          <w:sz w:val="28"/>
          <w:szCs w:val="28"/>
        </w:rPr>
        <w:t>如本合同因合同期限届满而终止，或本合同经甲乙双方协商一致而解除、或因乙方违约而解除、或因其他并非甲方违约责任的原因而解除，则乙方均应按下列约定履行清场退租义务：</w:t>
      </w:r>
    </w:p>
    <w:p>
      <w:pPr>
        <w:ind w:firstLine="560"/>
        <w:rPr>
          <w:rFonts w:ascii="仿宋" w:hAnsi="仿宋" w:eastAsia="仿宋"/>
          <w:sz w:val="28"/>
          <w:szCs w:val="28"/>
        </w:rPr>
      </w:pPr>
      <w:r>
        <w:rPr>
          <w:rFonts w:ascii="仿宋" w:hAnsi="仿宋" w:eastAsia="仿宋"/>
          <w:sz w:val="28"/>
          <w:szCs w:val="28"/>
        </w:rPr>
        <w:t xml:space="preserve"> a)  乙方应在本合同终止或解除之日起</w:t>
      </w:r>
      <w:r>
        <w:rPr>
          <w:rFonts w:hint="eastAsia" w:ascii="仿宋" w:hAnsi="仿宋" w:eastAsia="仿宋"/>
          <w:sz w:val="28"/>
          <w:szCs w:val="28"/>
        </w:rPr>
        <w:t>三日</w:t>
      </w:r>
      <w:r>
        <w:rPr>
          <w:rFonts w:ascii="仿宋" w:hAnsi="仿宋" w:eastAsia="仿宋"/>
          <w:sz w:val="28"/>
          <w:szCs w:val="28"/>
        </w:rPr>
        <w:t>内完成清场，并退出租赁物业。届时，乙方的装修遵循来修去丢原则，租赁物业上的装修、添附物、附着物、以及水电等公用设施 (无论该公用设施是否为乙方自费添加)，均归甲方所有，乙方不得拆除、破坏，且甲方无需对此给予乙方任何补偿</w:t>
      </w:r>
      <w:r>
        <w:rPr>
          <w:rFonts w:hint="eastAsia" w:ascii="仿宋" w:hAnsi="仿宋" w:eastAsia="仿宋"/>
          <w:sz w:val="28"/>
          <w:szCs w:val="28"/>
        </w:rPr>
        <w:t>，</w:t>
      </w:r>
      <w:r>
        <w:rPr>
          <w:rFonts w:ascii="仿宋" w:hAnsi="仿宋" w:eastAsia="仿宋"/>
          <w:sz w:val="28"/>
          <w:szCs w:val="28"/>
        </w:rPr>
        <w:t>但乙方可自行拆除非固定的设备设施及电器等，并负责恢复原状。届时，甲</w:t>
      </w:r>
      <w:r>
        <w:rPr>
          <w:rFonts w:hint="eastAsia" w:ascii="仿宋" w:hAnsi="仿宋" w:eastAsia="仿宋"/>
          <w:sz w:val="28"/>
          <w:szCs w:val="28"/>
        </w:rPr>
        <w:t>方</w:t>
      </w:r>
      <w:r>
        <w:rPr>
          <w:rFonts w:ascii="仿宋" w:hAnsi="仿宋" w:eastAsia="仿宋"/>
          <w:sz w:val="28"/>
          <w:szCs w:val="28"/>
        </w:rPr>
        <w:t>进行租赁物业的退场验收，并以验收合格视为乙方已完成本项所述之清场退出义务</w:t>
      </w:r>
      <w:r>
        <w:rPr>
          <w:rFonts w:hint="eastAsia" w:ascii="仿宋" w:hAnsi="仿宋" w:eastAsia="仿宋"/>
          <w:sz w:val="28"/>
          <w:szCs w:val="28"/>
        </w:rPr>
        <w:t>；</w:t>
      </w:r>
    </w:p>
    <w:p>
      <w:pPr>
        <w:ind w:firstLine="560"/>
        <w:rPr>
          <w:rFonts w:ascii="仿宋" w:hAnsi="仿宋" w:eastAsia="仿宋"/>
          <w:sz w:val="28"/>
          <w:szCs w:val="28"/>
        </w:rPr>
      </w:pPr>
      <w:r>
        <w:rPr>
          <w:rFonts w:ascii="仿宋" w:hAnsi="仿宋" w:eastAsia="仿宋"/>
          <w:sz w:val="28"/>
          <w:szCs w:val="28"/>
        </w:rPr>
        <w:t xml:space="preserve">b)  </w:t>
      </w:r>
      <w:r>
        <w:rPr>
          <w:rFonts w:hint="eastAsia" w:ascii="仿宋" w:hAnsi="仿宋" w:eastAsia="仿宋"/>
          <w:sz w:val="28"/>
          <w:szCs w:val="28"/>
        </w:rPr>
        <w:t>如乙方未在本合同终止或解除之日起三日内完成清场，则视为乙方已放弃留存在租赁物业内的所有物品、设施，甲方有权自行进行处置</w:t>
      </w:r>
      <w:r>
        <w:rPr>
          <w:rFonts w:ascii="仿宋" w:hAnsi="仿宋" w:eastAsia="仿宋"/>
          <w:sz w:val="28"/>
          <w:szCs w:val="28"/>
        </w:rPr>
        <w:t>(包括但不限于：搬动、迁移、拆除、丢弃或拍卖变卖)</w:t>
      </w:r>
      <w:r>
        <w:rPr>
          <w:rFonts w:hint="eastAsia" w:ascii="仿宋" w:hAnsi="仿宋" w:eastAsia="仿宋"/>
          <w:sz w:val="28"/>
          <w:szCs w:val="28"/>
        </w:rPr>
        <w:t>，</w:t>
      </w:r>
      <w:r>
        <w:rPr>
          <w:rFonts w:ascii="仿宋" w:hAnsi="仿宋" w:eastAsia="仿宋"/>
          <w:sz w:val="28"/>
          <w:szCs w:val="28"/>
        </w:rPr>
        <w:t>处置如有所得</w:t>
      </w:r>
      <w:r>
        <w:rPr>
          <w:rFonts w:hint="eastAsia" w:ascii="仿宋" w:hAnsi="仿宋" w:eastAsia="仿宋"/>
          <w:sz w:val="28"/>
          <w:szCs w:val="28"/>
        </w:rPr>
        <w:t>，</w:t>
      </w:r>
      <w:r>
        <w:rPr>
          <w:rFonts w:ascii="仿宋" w:hAnsi="仿宋" w:eastAsia="仿宋"/>
          <w:sz w:val="28"/>
          <w:szCs w:val="28"/>
        </w:rPr>
        <w:t>归甲方所有。</w:t>
      </w:r>
      <w:r>
        <w:rPr>
          <w:rFonts w:hint="eastAsia" w:ascii="仿宋" w:hAnsi="仿宋" w:eastAsia="仿宋"/>
          <w:sz w:val="28"/>
          <w:szCs w:val="28"/>
        </w:rPr>
        <w:t>甲方有权但无义务单方聘请公证机关或其他第三方机构对处置行为进行证据保全；</w:t>
      </w:r>
    </w:p>
    <w:p>
      <w:pPr>
        <w:ind w:firstLine="560"/>
        <w:rPr>
          <w:rFonts w:ascii="仿宋" w:hAnsi="仿宋" w:eastAsia="仿宋"/>
          <w:sz w:val="28"/>
          <w:szCs w:val="28"/>
        </w:rPr>
      </w:pPr>
      <w:r>
        <w:rPr>
          <w:rFonts w:ascii="仿宋" w:hAnsi="仿宋" w:eastAsia="仿宋"/>
          <w:sz w:val="28"/>
          <w:szCs w:val="28"/>
        </w:rPr>
        <w:t xml:space="preserve">c)  </w:t>
      </w:r>
      <w:r>
        <w:rPr>
          <w:rFonts w:hint="eastAsia" w:ascii="仿宋" w:hAnsi="仿宋" w:eastAsia="仿宋"/>
          <w:sz w:val="28"/>
          <w:szCs w:val="28"/>
        </w:rPr>
        <w:t>乙方应在本合同终止或解除之日起三日内负责清退次承租方，因清退上述各方而引发的责任概由乙方承担，包括但不限于：向上述各方退还费用、保证金、补偿装修、赔偿损失等。逾期未能清退，则视为乙方未能向甲方交还租赁物；</w:t>
      </w:r>
    </w:p>
    <w:p>
      <w:pPr>
        <w:ind w:firstLine="560"/>
        <w:rPr>
          <w:rFonts w:ascii="仿宋" w:hAnsi="仿宋" w:eastAsia="仿宋"/>
          <w:sz w:val="28"/>
          <w:szCs w:val="28"/>
        </w:rPr>
      </w:pPr>
      <w:r>
        <w:rPr>
          <w:rFonts w:ascii="仿宋" w:hAnsi="仿宋" w:eastAsia="仿宋"/>
          <w:sz w:val="28"/>
          <w:szCs w:val="28"/>
        </w:rPr>
        <w:t xml:space="preserve">d)  </w:t>
      </w:r>
      <w:r>
        <w:rPr>
          <w:rFonts w:hint="eastAsia" w:ascii="仿宋" w:hAnsi="仿宋" w:eastAsia="仿宋"/>
          <w:sz w:val="28"/>
          <w:szCs w:val="28"/>
        </w:rPr>
        <w:t>乙方应在本合同终止或解除后，自行及时妥善解决租赁物业所产生的全部债务。包括但不限于：对施工单位、供货商等的债务、对所聘用员工的辞退及补偿。如因乙方未能及时妥善解决上述问题，而发生乙方的债权人或乙方员工围堵、破坏甲方所有的任何房屋、场地、设备设施等情形而给甲方造成任何损失，均由乙方负责赔偿；</w:t>
      </w:r>
    </w:p>
    <w:p>
      <w:pPr>
        <w:ind w:firstLine="560"/>
        <w:rPr>
          <w:rFonts w:ascii="仿宋" w:hAnsi="仿宋" w:eastAsia="仿宋"/>
          <w:sz w:val="28"/>
          <w:szCs w:val="28"/>
        </w:rPr>
      </w:pPr>
      <w:r>
        <w:rPr>
          <w:rFonts w:ascii="仿宋" w:hAnsi="仿宋" w:eastAsia="仿宋"/>
          <w:sz w:val="28"/>
          <w:szCs w:val="28"/>
        </w:rPr>
        <w:t xml:space="preserve">e)  </w:t>
      </w:r>
      <w:r>
        <w:rPr>
          <w:rFonts w:hint="eastAsia" w:ascii="仿宋" w:hAnsi="仿宋" w:eastAsia="仿宋"/>
          <w:sz w:val="28"/>
          <w:szCs w:val="28"/>
        </w:rPr>
        <w:t>乙方应在本合同终止或解除之日起三日内付清所有欠付费用以及应由乙方承担的公用事业及配套设施费用</w:t>
      </w:r>
      <w:r>
        <w:rPr>
          <w:rFonts w:ascii="仿宋" w:hAnsi="仿宋" w:eastAsia="仿宋"/>
          <w:sz w:val="28"/>
          <w:szCs w:val="28"/>
        </w:rPr>
        <w:t>(包括但不限于：水、电等)；并且，除非事先征得甲方书面同意，否则乙方不得要求以租赁物业内的装修、添附物、附着物、设施设备、物品等</w:t>
      </w:r>
      <w:r>
        <w:rPr>
          <w:rFonts w:hint="eastAsia" w:ascii="仿宋" w:hAnsi="仿宋" w:eastAsia="仿宋"/>
          <w:sz w:val="28"/>
          <w:szCs w:val="28"/>
        </w:rPr>
        <w:t>用</w:t>
      </w:r>
      <w:r>
        <w:rPr>
          <w:rFonts w:ascii="仿宋" w:hAnsi="仿宋" w:eastAsia="仿宋"/>
          <w:sz w:val="28"/>
          <w:szCs w:val="28"/>
        </w:rPr>
        <w:t>来作价冲抵欠租或欠付的费用</w:t>
      </w:r>
      <w:r>
        <w:rPr>
          <w:rFonts w:hint="eastAsia" w:ascii="仿宋" w:hAnsi="仿宋" w:eastAsia="仿宋"/>
          <w:sz w:val="28"/>
          <w:szCs w:val="28"/>
        </w:rPr>
        <w:t>；</w:t>
      </w:r>
    </w:p>
    <w:p>
      <w:pPr>
        <w:ind w:firstLine="560"/>
        <w:rPr>
          <w:rFonts w:ascii="仿宋" w:hAnsi="仿宋" w:eastAsia="仿宋"/>
          <w:sz w:val="28"/>
          <w:szCs w:val="28"/>
        </w:rPr>
      </w:pPr>
      <w:r>
        <w:rPr>
          <w:rFonts w:ascii="仿宋" w:hAnsi="仿宋" w:eastAsia="仿宋"/>
          <w:sz w:val="28"/>
          <w:szCs w:val="28"/>
        </w:rPr>
        <w:t xml:space="preserve">f)  </w:t>
      </w:r>
      <w:r>
        <w:rPr>
          <w:rFonts w:hint="eastAsia" w:ascii="仿宋" w:hAnsi="仿宋" w:eastAsia="仿宋"/>
          <w:sz w:val="28"/>
          <w:szCs w:val="28"/>
        </w:rPr>
        <w:t>如果本合同解除系因乙方违约所致，乙方还应按本合同第</w:t>
      </w: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条的规定承担违约责任，包括但不限于：支付违约金、赔偿金等。</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7</w:t>
      </w:r>
      <w:r>
        <w:rPr>
          <w:rFonts w:ascii="仿宋" w:hAnsi="仿宋" w:eastAsia="仿宋"/>
          <w:sz w:val="28"/>
          <w:szCs w:val="28"/>
        </w:rPr>
        <w:t>.3如因甲方违约而导致</w:t>
      </w:r>
      <w:r>
        <w:rPr>
          <w:rFonts w:hint="eastAsia" w:ascii="仿宋" w:hAnsi="仿宋" w:eastAsia="仿宋"/>
          <w:sz w:val="28"/>
          <w:szCs w:val="28"/>
        </w:rPr>
        <w:t>本合同解除，对于因此而给乙方造成的损失、或甲方应对本合同解除所承担的违约责任，乙方有权按本合同第</w:t>
      </w: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1</w:t>
      </w:r>
      <w:r>
        <w:rPr>
          <w:rFonts w:ascii="仿宋" w:hAnsi="仿宋" w:eastAsia="仿宋"/>
          <w:sz w:val="28"/>
          <w:szCs w:val="28"/>
        </w:rPr>
        <w:t>条的规定向甲方追索</w:t>
      </w:r>
      <w:r>
        <w:rPr>
          <w:rFonts w:hint="eastAsia" w:ascii="仿宋" w:hAnsi="仿宋" w:eastAsia="仿宋"/>
          <w:sz w:val="28"/>
          <w:szCs w:val="28"/>
        </w:rPr>
        <w:t>，</w:t>
      </w:r>
      <w:r>
        <w:rPr>
          <w:rFonts w:ascii="仿宋" w:hAnsi="仿宋" w:eastAsia="仿宋"/>
          <w:sz w:val="28"/>
          <w:szCs w:val="28"/>
        </w:rPr>
        <w:t>但乙方仍应按下列方式履行清场退租义务</w:t>
      </w:r>
      <w:r>
        <w:rPr>
          <w:rFonts w:hint="eastAsia" w:ascii="仿宋" w:hAnsi="仿宋" w:eastAsia="仿宋"/>
          <w:sz w:val="28"/>
          <w:szCs w:val="28"/>
        </w:rPr>
        <w:t>：</w:t>
      </w:r>
    </w:p>
    <w:p>
      <w:pPr>
        <w:ind w:firstLine="560"/>
        <w:rPr>
          <w:rFonts w:ascii="仿宋" w:hAnsi="仿宋" w:eastAsia="仿宋"/>
          <w:sz w:val="28"/>
          <w:szCs w:val="28"/>
        </w:rPr>
      </w:pPr>
      <w:r>
        <w:rPr>
          <w:rFonts w:ascii="仿宋" w:hAnsi="仿宋" w:eastAsia="仿宋"/>
          <w:sz w:val="28"/>
          <w:szCs w:val="28"/>
        </w:rPr>
        <w:t>a)乙方应履行本合同第1</w:t>
      </w:r>
      <w:r>
        <w:rPr>
          <w:rFonts w:hint="eastAsia" w:ascii="仿宋" w:hAnsi="仿宋" w:eastAsia="仿宋"/>
          <w:sz w:val="28"/>
          <w:szCs w:val="28"/>
        </w:rPr>
        <w:t>7</w:t>
      </w:r>
      <w:r>
        <w:rPr>
          <w:rFonts w:ascii="仿宋" w:hAnsi="仿宋" w:eastAsia="仿宋"/>
          <w:sz w:val="28"/>
          <w:szCs w:val="28"/>
        </w:rPr>
        <w:t>.2条之a)</w:t>
      </w:r>
      <w:r>
        <w:rPr>
          <w:rFonts w:hint="eastAsia" w:ascii="仿宋" w:hAnsi="仿宋" w:eastAsia="仿宋"/>
          <w:sz w:val="28"/>
          <w:szCs w:val="28"/>
        </w:rPr>
        <w:t>款</w:t>
      </w:r>
      <w:r>
        <w:rPr>
          <w:rFonts w:ascii="仿宋" w:hAnsi="仿宋" w:eastAsia="仿宋"/>
          <w:sz w:val="28"/>
          <w:szCs w:val="28"/>
        </w:rPr>
        <w:t>规定的义务</w:t>
      </w:r>
      <w:r>
        <w:rPr>
          <w:rFonts w:hint="eastAsia" w:ascii="仿宋" w:hAnsi="仿宋" w:eastAsia="仿宋"/>
          <w:sz w:val="28"/>
          <w:szCs w:val="28"/>
        </w:rPr>
        <w:t>，</w:t>
      </w:r>
      <w:r>
        <w:rPr>
          <w:rFonts w:ascii="仿宋" w:hAnsi="仿宋" w:eastAsia="仿宋"/>
          <w:sz w:val="28"/>
          <w:szCs w:val="28"/>
        </w:rPr>
        <w:t>否则甲方有权按本合同第1</w:t>
      </w:r>
      <w:r>
        <w:rPr>
          <w:rFonts w:hint="eastAsia" w:ascii="仿宋" w:hAnsi="仿宋" w:eastAsia="仿宋"/>
          <w:sz w:val="28"/>
          <w:szCs w:val="28"/>
        </w:rPr>
        <w:t>7.</w:t>
      </w:r>
      <w:r>
        <w:rPr>
          <w:rFonts w:ascii="仿宋" w:hAnsi="仿宋" w:eastAsia="仿宋"/>
          <w:sz w:val="28"/>
          <w:szCs w:val="28"/>
        </w:rPr>
        <w:t>2条之b)</w:t>
      </w:r>
      <w:r>
        <w:rPr>
          <w:rFonts w:hint="eastAsia" w:ascii="仿宋" w:hAnsi="仿宋" w:eastAsia="仿宋"/>
          <w:sz w:val="28"/>
          <w:szCs w:val="28"/>
        </w:rPr>
        <w:t>款的规定行使相应的权利；</w:t>
      </w:r>
    </w:p>
    <w:p>
      <w:pPr>
        <w:ind w:firstLine="560"/>
        <w:rPr>
          <w:rFonts w:ascii="仿宋" w:hAnsi="仿宋" w:eastAsia="仿宋"/>
          <w:sz w:val="28"/>
          <w:szCs w:val="28"/>
        </w:rPr>
      </w:pPr>
      <w:r>
        <w:rPr>
          <w:rFonts w:ascii="仿宋" w:hAnsi="仿宋" w:eastAsia="仿宋"/>
          <w:sz w:val="28"/>
          <w:szCs w:val="28"/>
        </w:rPr>
        <w:t xml:space="preserve">b)  </w:t>
      </w:r>
      <w:r>
        <w:rPr>
          <w:rFonts w:hint="eastAsia" w:ascii="仿宋" w:hAnsi="仿宋" w:eastAsia="仿宋"/>
          <w:sz w:val="28"/>
          <w:szCs w:val="28"/>
        </w:rPr>
        <w:t>乙方应在本合同终止或解除之日起三日内负责清退次承租方，因清退经甲方书面同意转租的次承租方而引发的责任，由乙方自行承担；</w:t>
      </w:r>
    </w:p>
    <w:p>
      <w:pPr>
        <w:ind w:firstLine="560"/>
        <w:rPr>
          <w:rFonts w:ascii="仿宋" w:hAnsi="仿宋" w:eastAsia="仿宋"/>
          <w:sz w:val="28"/>
          <w:szCs w:val="28"/>
        </w:rPr>
      </w:pPr>
      <w:r>
        <w:rPr>
          <w:rFonts w:hint="eastAsia" w:ascii="仿宋" w:hAnsi="仿宋" w:eastAsia="仿宋"/>
          <w:sz w:val="28"/>
          <w:szCs w:val="28"/>
        </w:rPr>
        <w:t>c</w:t>
      </w:r>
      <w:r>
        <w:rPr>
          <w:rFonts w:ascii="仿宋" w:hAnsi="仿宋" w:eastAsia="仿宋"/>
          <w:sz w:val="28"/>
          <w:szCs w:val="28"/>
        </w:rPr>
        <w:t xml:space="preserve">)  </w:t>
      </w:r>
      <w:r>
        <w:rPr>
          <w:rFonts w:hint="eastAsia" w:ascii="仿宋" w:hAnsi="仿宋" w:eastAsia="仿宋"/>
          <w:sz w:val="28"/>
          <w:szCs w:val="28"/>
        </w:rPr>
        <w:t>乙方应在本合同终止或解除之日起三日内付清所有欠付费用以及应由乙方承担的公共事业及配套设施费用</w:t>
      </w:r>
      <w:r>
        <w:rPr>
          <w:rFonts w:ascii="仿宋" w:hAnsi="仿宋" w:eastAsia="仿宋"/>
          <w:sz w:val="28"/>
          <w:szCs w:val="28"/>
        </w:rPr>
        <w:t>(包括但不限于：水、电等)。</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7</w:t>
      </w:r>
      <w:r>
        <w:rPr>
          <w:rFonts w:ascii="仿宋" w:hAnsi="仿宋" w:eastAsia="仿宋"/>
          <w:sz w:val="28"/>
          <w:szCs w:val="28"/>
        </w:rPr>
        <w:t>.4本合同终止或解除时，关于乙方向甲方缴纳的保证金</w:t>
      </w:r>
      <w:r>
        <w:rPr>
          <w:rFonts w:hint="eastAsia" w:ascii="仿宋" w:hAnsi="仿宋" w:eastAsia="仿宋"/>
          <w:sz w:val="28"/>
          <w:szCs w:val="28"/>
        </w:rPr>
        <w:t>，</w:t>
      </w:r>
      <w:r>
        <w:rPr>
          <w:rFonts w:ascii="仿宋" w:hAnsi="仿宋" w:eastAsia="仿宋"/>
          <w:sz w:val="28"/>
          <w:szCs w:val="28"/>
        </w:rPr>
        <w:t>按本合同第</w:t>
      </w:r>
      <w:r>
        <w:rPr>
          <w:rFonts w:hint="eastAsia" w:ascii="仿宋" w:hAnsi="仿宋" w:eastAsia="仿宋"/>
          <w:sz w:val="28"/>
          <w:szCs w:val="28"/>
        </w:rPr>
        <w:t>7</w:t>
      </w:r>
      <w:r>
        <w:rPr>
          <w:rFonts w:ascii="仿宋" w:hAnsi="仿宋" w:eastAsia="仿宋"/>
          <w:sz w:val="28"/>
          <w:szCs w:val="28"/>
        </w:rPr>
        <w:t>.3条的规定处理。</w:t>
      </w:r>
    </w:p>
    <w:p>
      <w:pPr>
        <w:rPr>
          <w:rFonts w:ascii="仿宋" w:hAnsi="仿宋" w:eastAsia="仿宋"/>
          <w:b/>
          <w:sz w:val="28"/>
          <w:szCs w:val="28"/>
        </w:rPr>
      </w:pPr>
      <w:r>
        <w:rPr>
          <w:rFonts w:hint="eastAsia" w:ascii="仿宋" w:hAnsi="仿宋" w:eastAsia="仿宋"/>
          <w:b/>
          <w:sz w:val="28"/>
          <w:szCs w:val="28"/>
        </w:rPr>
        <w:t>第十八</w:t>
      </w:r>
      <w:r>
        <w:rPr>
          <w:rFonts w:ascii="仿宋" w:hAnsi="仿宋" w:eastAsia="仿宋"/>
          <w:b/>
          <w:sz w:val="28"/>
          <w:szCs w:val="28"/>
        </w:rPr>
        <w:t>条违约责任</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1如果甲方违反本合同的约定，提前收回租赁物业，或</w:t>
      </w:r>
      <w:r>
        <w:rPr>
          <w:rFonts w:ascii="仿宋" w:hAnsi="仿宋" w:eastAsia="仿宋"/>
          <w:sz w:val="28"/>
          <w:szCs w:val="28"/>
        </w:rPr>
        <w:t>因甲方违约而导致</w:t>
      </w:r>
      <w:r>
        <w:rPr>
          <w:rFonts w:hint="eastAsia" w:ascii="仿宋" w:hAnsi="仿宋" w:eastAsia="仿宋"/>
          <w:sz w:val="28"/>
          <w:szCs w:val="28"/>
        </w:rPr>
        <w:t>本合同解除，甲方应赔偿乙方实际损失，包括但不限于已形成附合的装修投入残值等</w:t>
      </w:r>
      <w:r>
        <w:rPr>
          <w:rFonts w:ascii="仿宋" w:hAnsi="仿宋" w:eastAsia="仿宋"/>
          <w:sz w:val="28"/>
          <w:szCs w:val="28"/>
        </w:rPr>
        <w:t xml:space="preserve">。 </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2如因乙方延迟支付本合同项下的第六条中的租赁费用、百合百乐历史欠款偿还资金，甲方有权停止水电等的供应，乙方还应按下列方式承担违约责任：</w:t>
      </w:r>
    </w:p>
    <w:p>
      <w:pPr>
        <w:ind w:firstLine="560"/>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每逾期一日，按逾期金额千分之五的标准支付违约金；</w:t>
      </w:r>
    </w:p>
    <w:p>
      <w:pPr>
        <w:ind w:firstLine="560"/>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 乙方逾期支付超过30天的，</w:t>
      </w:r>
      <w:r>
        <w:rPr>
          <w:rFonts w:ascii="仿宋" w:hAnsi="仿宋" w:eastAsia="仿宋"/>
          <w:sz w:val="28"/>
          <w:szCs w:val="28"/>
        </w:rPr>
        <w:t>甲方有权在以下</w:t>
      </w:r>
      <w:r>
        <w:rPr>
          <w:rFonts w:hint="eastAsia" w:ascii="仿宋" w:hAnsi="仿宋" w:eastAsia="仿宋"/>
          <w:sz w:val="28"/>
          <w:szCs w:val="28"/>
        </w:rPr>
        <w:t>两种方式中任择其一：</w:t>
      </w:r>
      <w:r>
        <w:rPr>
          <w:rFonts w:ascii="仿宋" w:hAnsi="仿宋" w:eastAsia="仿宋"/>
          <w:sz w:val="28"/>
          <w:szCs w:val="28"/>
        </w:rPr>
        <w:t>A、继续履行本合同，乙方应</w:t>
      </w:r>
      <w:r>
        <w:rPr>
          <w:rFonts w:hint="eastAsia" w:ascii="仿宋" w:hAnsi="仿宋" w:eastAsia="仿宋"/>
          <w:sz w:val="28"/>
          <w:szCs w:val="28"/>
        </w:rPr>
        <w:t>按第18.2条</w:t>
      </w:r>
      <w:r>
        <w:rPr>
          <w:rFonts w:ascii="仿宋" w:hAnsi="仿宋" w:eastAsia="仿宋"/>
          <w:sz w:val="28"/>
          <w:szCs w:val="28"/>
        </w:rPr>
        <w:t>a)</w:t>
      </w:r>
      <w:r>
        <w:rPr>
          <w:rFonts w:hint="eastAsia" w:ascii="仿宋" w:hAnsi="仿宋" w:eastAsia="仿宋"/>
          <w:sz w:val="28"/>
          <w:szCs w:val="28"/>
        </w:rPr>
        <w:t>项</w:t>
      </w:r>
      <w:r>
        <w:rPr>
          <w:rFonts w:ascii="仿宋" w:hAnsi="仿宋" w:eastAsia="仿宋"/>
          <w:sz w:val="28"/>
          <w:szCs w:val="28"/>
        </w:rPr>
        <w:t>支付违约金；B、</w:t>
      </w:r>
      <w:r>
        <w:rPr>
          <w:rFonts w:hint="eastAsia" w:ascii="仿宋" w:hAnsi="仿宋" w:eastAsia="仿宋"/>
          <w:sz w:val="28"/>
          <w:szCs w:val="28"/>
        </w:rPr>
        <w:t>甲方有权单方面</w:t>
      </w:r>
      <w:r>
        <w:rPr>
          <w:rFonts w:ascii="仿宋" w:hAnsi="仿宋" w:eastAsia="仿宋"/>
          <w:sz w:val="28"/>
          <w:szCs w:val="28"/>
        </w:rPr>
        <w:t>解除本合同，</w:t>
      </w:r>
      <w:r>
        <w:rPr>
          <w:rFonts w:hint="eastAsia" w:ascii="仿宋" w:hAnsi="仿宋" w:eastAsia="仿宋"/>
          <w:sz w:val="28"/>
          <w:szCs w:val="28"/>
        </w:rPr>
        <w:t>保证金不予退还，</w:t>
      </w:r>
      <w:r>
        <w:rPr>
          <w:rFonts w:ascii="仿宋" w:hAnsi="仿宋" w:eastAsia="仿宋"/>
          <w:sz w:val="28"/>
          <w:szCs w:val="28"/>
        </w:rPr>
        <w:t>届时乙方应付清租</w:t>
      </w:r>
      <w:r>
        <w:rPr>
          <w:rFonts w:hint="eastAsia" w:ascii="仿宋" w:hAnsi="仿宋" w:eastAsia="仿宋"/>
          <w:sz w:val="28"/>
          <w:szCs w:val="28"/>
        </w:rPr>
        <w:t>金、历史欠款偿还资金</w:t>
      </w:r>
      <w:r>
        <w:rPr>
          <w:rFonts w:ascii="仿宋" w:hAnsi="仿宋" w:eastAsia="仿宋"/>
          <w:sz w:val="28"/>
          <w:szCs w:val="28"/>
        </w:rPr>
        <w:t>并按本合同第1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5</w:t>
      </w:r>
      <w:r>
        <w:rPr>
          <w:rFonts w:ascii="仿宋" w:hAnsi="仿宋" w:eastAsia="仿宋"/>
          <w:sz w:val="28"/>
          <w:szCs w:val="28"/>
        </w:rPr>
        <w:t>条的规定支付违约金、赔偿金。</w:t>
      </w:r>
      <w:r>
        <w:rPr>
          <w:rFonts w:hint="eastAsia" w:ascii="仿宋" w:hAnsi="仿宋" w:eastAsia="仿宋"/>
          <w:sz w:val="28"/>
          <w:szCs w:val="28"/>
        </w:rPr>
        <w:t>乙方应在甲方单方面发函解除合同后3天内</w:t>
      </w:r>
      <w:r>
        <w:rPr>
          <w:rFonts w:ascii="仿宋" w:hAnsi="仿宋" w:eastAsia="仿宋"/>
          <w:sz w:val="28"/>
          <w:szCs w:val="28"/>
        </w:rPr>
        <w:t>清场退租</w:t>
      </w:r>
      <w:r>
        <w:rPr>
          <w:rFonts w:hint="eastAsia" w:ascii="仿宋" w:hAnsi="仿宋" w:eastAsia="仿宋"/>
          <w:sz w:val="28"/>
          <w:szCs w:val="28"/>
        </w:rPr>
        <w:t>，相关清场退租事宜按本合同第</w:t>
      </w:r>
      <w:r>
        <w:rPr>
          <w:rFonts w:ascii="仿宋" w:hAnsi="仿宋" w:eastAsia="仿宋"/>
          <w:sz w:val="28"/>
          <w:szCs w:val="28"/>
        </w:rPr>
        <w:t>1</w:t>
      </w:r>
      <w:r>
        <w:rPr>
          <w:rFonts w:hint="eastAsia" w:ascii="仿宋" w:hAnsi="仿宋" w:eastAsia="仿宋"/>
          <w:sz w:val="28"/>
          <w:szCs w:val="28"/>
        </w:rPr>
        <w:t>7.2</w:t>
      </w:r>
      <w:r>
        <w:rPr>
          <w:rFonts w:ascii="仿宋" w:hAnsi="仿宋" w:eastAsia="仿宋"/>
          <w:sz w:val="28"/>
          <w:szCs w:val="28"/>
        </w:rPr>
        <w:t>条处理。</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3如因乙方迟延支付本合同项下除租赁费用、百合百乐历史欠款偿还资金、保证金以外的其他费用</w:t>
      </w:r>
      <w:r>
        <w:rPr>
          <w:rFonts w:ascii="仿宋" w:hAnsi="仿宋" w:eastAsia="仿宋"/>
          <w:sz w:val="28"/>
          <w:szCs w:val="28"/>
        </w:rPr>
        <w:t>(包括但不限于：公用事业及配套</w:t>
      </w:r>
      <w:r>
        <w:rPr>
          <w:rFonts w:hint="eastAsia" w:ascii="仿宋" w:hAnsi="仿宋" w:eastAsia="仿宋"/>
          <w:sz w:val="28"/>
          <w:szCs w:val="28"/>
        </w:rPr>
        <w:t>设施费用等</w:t>
      </w:r>
      <w:r>
        <w:rPr>
          <w:rFonts w:ascii="仿宋" w:hAnsi="仿宋" w:eastAsia="仿宋"/>
          <w:sz w:val="28"/>
          <w:szCs w:val="28"/>
        </w:rPr>
        <w:t>)，则</w:t>
      </w:r>
      <w:r>
        <w:rPr>
          <w:rFonts w:hint="eastAsia" w:ascii="仿宋" w:hAnsi="仿宋" w:eastAsia="仿宋"/>
          <w:sz w:val="28"/>
          <w:szCs w:val="28"/>
        </w:rPr>
        <w:t>甲方有权停止水电等的供应，</w:t>
      </w:r>
      <w:r>
        <w:rPr>
          <w:rFonts w:ascii="仿宋" w:hAnsi="仿宋" w:eastAsia="仿宋"/>
          <w:sz w:val="28"/>
          <w:szCs w:val="28"/>
        </w:rPr>
        <w:t>乙方</w:t>
      </w:r>
      <w:r>
        <w:rPr>
          <w:rFonts w:hint="eastAsia" w:ascii="仿宋" w:hAnsi="仿宋" w:eastAsia="仿宋"/>
          <w:sz w:val="28"/>
          <w:szCs w:val="28"/>
        </w:rPr>
        <w:t>还</w:t>
      </w:r>
      <w:r>
        <w:rPr>
          <w:rFonts w:ascii="仿宋" w:hAnsi="仿宋" w:eastAsia="仿宋"/>
          <w:sz w:val="28"/>
          <w:szCs w:val="28"/>
        </w:rPr>
        <w:t>应</w:t>
      </w:r>
      <w:r>
        <w:rPr>
          <w:rFonts w:hint="eastAsia" w:ascii="仿宋" w:hAnsi="仿宋" w:eastAsia="仿宋"/>
          <w:sz w:val="28"/>
          <w:szCs w:val="28"/>
        </w:rPr>
        <w:t>按</w:t>
      </w:r>
      <w:r>
        <w:rPr>
          <w:rFonts w:ascii="仿宋" w:hAnsi="仿宋" w:eastAsia="仿宋"/>
          <w:sz w:val="28"/>
          <w:szCs w:val="28"/>
        </w:rPr>
        <w:t>下列方式承担违约责任：</w:t>
      </w:r>
    </w:p>
    <w:p>
      <w:pPr>
        <w:ind w:firstLine="560"/>
        <w:rPr>
          <w:rFonts w:ascii="仿宋" w:hAnsi="仿宋" w:eastAsia="仿宋"/>
          <w:sz w:val="28"/>
          <w:szCs w:val="28"/>
        </w:rPr>
      </w:pPr>
      <w:r>
        <w:rPr>
          <w:rFonts w:ascii="仿宋" w:hAnsi="仿宋" w:eastAsia="仿宋"/>
          <w:sz w:val="28"/>
          <w:szCs w:val="28"/>
        </w:rPr>
        <w:t>a）每逾期一日，按欠费额的</w:t>
      </w:r>
      <w:r>
        <w:rPr>
          <w:rFonts w:hint="eastAsia" w:ascii="仿宋" w:hAnsi="仿宋" w:eastAsia="仿宋"/>
          <w:sz w:val="28"/>
          <w:szCs w:val="28"/>
        </w:rPr>
        <w:t>千分之五</w:t>
      </w:r>
      <w:r>
        <w:rPr>
          <w:rFonts w:ascii="仿宋" w:hAnsi="仿宋" w:eastAsia="仿宋"/>
          <w:sz w:val="28"/>
          <w:szCs w:val="28"/>
        </w:rPr>
        <w:t>支付违约金</w:t>
      </w:r>
      <w:r>
        <w:rPr>
          <w:rFonts w:hint="eastAsia" w:ascii="仿宋" w:hAnsi="仿宋" w:eastAsia="仿宋"/>
          <w:sz w:val="28"/>
          <w:szCs w:val="28"/>
        </w:rPr>
        <w:t>；</w:t>
      </w:r>
    </w:p>
    <w:p>
      <w:pPr>
        <w:ind w:firstLine="560"/>
        <w:rPr>
          <w:rFonts w:ascii="仿宋" w:hAnsi="仿宋" w:eastAsia="仿宋"/>
          <w:sz w:val="28"/>
          <w:szCs w:val="28"/>
        </w:rPr>
      </w:pPr>
      <w:r>
        <w:rPr>
          <w:rFonts w:hint="eastAsia" w:ascii="仿宋" w:hAnsi="仿宋" w:eastAsia="仿宋"/>
          <w:sz w:val="28"/>
          <w:szCs w:val="28"/>
        </w:rPr>
        <w:t>b）上述欠费 超过30天</w:t>
      </w:r>
      <w:r>
        <w:rPr>
          <w:rFonts w:ascii="仿宋" w:hAnsi="仿宋" w:eastAsia="仿宋"/>
          <w:sz w:val="28"/>
          <w:szCs w:val="28"/>
        </w:rPr>
        <w:t>的，</w:t>
      </w:r>
      <w:r>
        <w:rPr>
          <w:rFonts w:hint="eastAsia" w:ascii="仿宋" w:hAnsi="仿宋" w:eastAsia="仿宋"/>
          <w:sz w:val="28"/>
          <w:szCs w:val="28"/>
        </w:rPr>
        <w:t>甲方有权在以下两种方式中任选其一：A、继续履行本合同，乙方应对逾期支付的上述费用，按第18.3条</w:t>
      </w:r>
      <w:r>
        <w:rPr>
          <w:rFonts w:ascii="仿宋" w:hAnsi="仿宋" w:eastAsia="仿宋"/>
          <w:sz w:val="28"/>
          <w:szCs w:val="28"/>
        </w:rPr>
        <w:t>a)</w:t>
      </w:r>
      <w:r>
        <w:rPr>
          <w:rFonts w:hint="eastAsia" w:ascii="仿宋" w:hAnsi="仿宋" w:eastAsia="仿宋"/>
          <w:sz w:val="28"/>
          <w:szCs w:val="28"/>
        </w:rPr>
        <w:t>项支付违约金;B、立即解除本合同，保证金不予退还，届时乙方应付清所有欠费，并按本合同第18.5的规定支付违约金、赔偿金。清场退租事宜按本合同的第17条处理。</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4如乙方存在下列行为之一，则甲方有权停止水电等的供应，有权解除本合同，保证金不予退还，且乙方还应按本合同第</w:t>
      </w: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5</w:t>
      </w:r>
      <w:r>
        <w:rPr>
          <w:rFonts w:ascii="仿宋" w:hAnsi="仿宋" w:eastAsia="仿宋"/>
          <w:sz w:val="28"/>
          <w:szCs w:val="28"/>
        </w:rPr>
        <w:t>的规定支付违约金、赔偿金，清场退租事宜按本合同第1</w:t>
      </w:r>
      <w:r>
        <w:rPr>
          <w:rFonts w:hint="eastAsia" w:ascii="仿宋" w:hAnsi="仿宋" w:eastAsia="仿宋"/>
          <w:sz w:val="28"/>
          <w:szCs w:val="28"/>
        </w:rPr>
        <w:t>7</w:t>
      </w:r>
      <w:r>
        <w:rPr>
          <w:rFonts w:ascii="仿宋" w:hAnsi="仿宋" w:eastAsia="仿宋"/>
          <w:sz w:val="28"/>
          <w:szCs w:val="28"/>
        </w:rPr>
        <w:t>条处理</w:t>
      </w:r>
      <w:r>
        <w:rPr>
          <w:rFonts w:hint="eastAsia" w:ascii="仿宋" w:hAnsi="仿宋" w:eastAsia="仿宋"/>
          <w:sz w:val="28"/>
          <w:szCs w:val="28"/>
        </w:rPr>
        <w:t>：</w:t>
      </w:r>
    </w:p>
    <w:p>
      <w:pPr>
        <w:ind w:firstLine="560"/>
        <w:rPr>
          <w:rFonts w:ascii="仿宋" w:hAnsi="仿宋" w:eastAsia="仿宋"/>
          <w:sz w:val="28"/>
          <w:szCs w:val="28"/>
        </w:rPr>
      </w:pPr>
      <w:r>
        <w:rPr>
          <w:rFonts w:ascii="仿宋" w:hAnsi="仿宋" w:eastAsia="仿宋"/>
          <w:sz w:val="28"/>
          <w:szCs w:val="28"/>
        </w:rPr>
        <w:t xml:space="preserve">a)  </w:t>
      </w:r>
      <w:r>
        <w:rPr>
          <w:rFonts w:hint="eastAsia" w:ascii="仿宋" w:hAnsi="仿宋" w:eastAsia="仿宋"/>
          <w:sz w:val="28"/>
          <w:szCs w:val="28"/>
        </w:rPr>
        <w:t>乙方利用租赁物业从事违法犯罪活动，或进行非法经营，或利用租赁物业存放危险物品</w:t>
      </w:r>
      <w:r>
        <w:rPr>
          <w:rFonts w:ascii="仿宋" w:hAnsi="仿宋" w:eastAsia="仿宋"/>
          <w:sz w:val="28"/>
          <w:szCs w:val="28"/>
        </w:rPr>
        <w:t>(包括不限于：储放易燃、易爆、有毒、放射、腐蚀等危险物品)</w:t>
      </w:r>
      <w:r>
        <w:rPr>
          <w:rFonts w:hint="eastAsia" w:ascii="仿宋" w:hAnsi="仿宋" w:eastAsia="仿宋"/>
          <w:sz w:val="28"/>
          <w:szCs w:val="28"/>
        </w:rPr>
        <w:t>的</w:t>
      </w:r>
      <w:r>
        <w:rPr>
          <w:rFonts w:ascii="仿宋" w:hAnsi="仿宋" w:eastAsia="仿宋"/>
          <w:sz w:val="28"/>
          <w:szCs w:val="28"/>
        </w:rPr>
        <w:t>；</w:t>
      </w:r>
    </w:p>
    <w:p>
      <w:pPr>
        <w:ind w:firstLine="560"/>
        <w:rPr>
          <w:rFonts w:ascii="仿宋" w:hAnsi="仿宋" w:eastAsia="仿宋"/>
          <w:sz w:val="28"/>
          <w:szCs w:val="28"/>
        </w:rPr>
      </w:pPr>
      <w:r>
        <w:rPr>
          <w:rFonts w:ascii="仿宋" w:hAnsi="仿宋" w:eastAsia="仿宋"/>
          <w:sz w:val="28"/>
          <w:szCs w:val="28"/>
        </w:rPr>
        <w:t xml:space="preserve">b)  </w:t>
      </w:r>
      <w:r>
        <w:rPr>
          <w:rFonts w:hint="eastAsia" w:ascii="仿宋" w:hAnsi="仿宋" w:eastAsia="仿宋"/>
          <w:sz w:val="28"/>
          <w:szCs w:val="28"/>
        </w:rPr>
        <w:t>乙方虽未从事上述第</w:t>
      </w:r>
      <w:r>
        <w:rPr>
          <w:rFonts w:ascii="仿宋" w:hAnsi="仿宋" w:eastAsia="仿宋"/>
          <w:sz w:val="28"/>
          <w:szCs w:val="28"/>
        </w:rPr>
        <w:t>a)项之违约行为，但违反本合同第3.1条约定的租赁物业用途，经甲方书面催告，在</w:t>
      </w:r>
      <w:r>
        <w:rPr>
          <w:rFonts w:hint="eastAsia" w:ascii="仿宋" w:hAnsi="仿宋" w:eastAsia="仿宋"/>
          <w:sz w:val="28"/>
          <w:szCs w:val="28"/>
        </w:rPr>
        <w:t>三</w:t>
      </w:r>
      <w:r>
        <w:rPr>
          <w:rFonts w:ascii="仿宋" w:hAnsi="仿宋" w:eastAsia="仿宋"/>
          <w:sz w:val="28"/>
          <w:szCs w:val="28"/>
        </w:rPr>
        <w:t>天内未予纠正的；</w:t>
      </w:r>
    </w:p>
    <w:p>
      <w:pPr>
        <w:ind w:firstLine="560"/>
        <w:rPr>
          <w:rFonts w:ascii="仿宋" w:hAnsi="仿宋" w:eastAsia="仿宋"/>
          <w:sz w:val="28"/>
          <w:szCs w:val="28"/>
        </w:rPr>
      </w:pPr>
      <w:r>
        <w:rPr>
          <w:rFonts w:ascii="仿宋" w:hAnsi="仿宋" w:eastAsia="仿宋"/>
          <w:sz w:val="28"/>
          <w:szCs w:val="28"/>
        </w:rPr>
        <w:t xml:space="preserve">c)  </w:t>
      </w:r>
      <w:r>
        <w:rPr>
          <w:rFonts w:hint="eastAsia" w:ascii="仿宋" w:hAnsi="仿宋" w:eastAsia="仿宋"/>
          <w:sz w:val="28"/>
          <w:szCs w:val="28"/>
        </w:rPr>
        <w:t>乙方未经甲方同意，即自行进行租赁物业的改建，或实施改变/影响租赁物业主体结构的其他装修行为，或对于需报政府主管部门许可的施工项目，未经政府有关部门许可即擅自施工的；</w:t>
      </w:r>
    </w:p>
    <w:p>
      <w:pPr>
        <w:ind w:firstLine="560"/>
        <w:rPr>
          <w:rFonts w:ascii="仿宋" w:hAnsi="仿宋" w:eastAsia="仿宋"/>
          <w:sz w:val="28"/>
          <w:szCs w:val="28"/>
        </w:rPr>
      </w:pPr>
      <w:r>
        <w:rPr>
          <w:rFonts w:ascii="仿宋" w:hAnsi="仿宋" w:eastAsia="仿宋"/>
          <w:sz w:val="28"/>
          <w:szCs w:val="28"/>
        </w:rPr>
        <w:t xml:space="preserve">d)  </w:t>
      </w:r>
      <w:r>
        <w:rPr>
          <w:rFonts w:hint="eastAsia" w:ascii="仿宋" w:hAnsi="仿宋" w:eastAsia="仿宋"/>
          <w:sz w:val="28"/>
          <w:szCs w:val="28"/>
        </w:rPr>
        <w:t>乙方在对租赁物业的装修及使用中，因装修行为、经营行为或乙方的其他行为，而对租赁物业内或租赁物业周边的公共事业或配套设施造成破坏，或造成租赁物业周边的环境污染</w:t>
      </w:r>
      <w:r>
        <w:rPr>
          <w:rFonts w:ascii="仿宋" w:hAnsi="仿宋" w:eastAsia="仿宋"/>
          <w:sz w:val="28"/>
          <w:szCs w:val="28"/>
        </w:rPr>
        <w:t>(包括但不限于：油烟、污水、粉尘、嗓音、垃圾、废弃物等)，经甲方书</w:t>
      </w:r>
      <w:r>
        <w:rPr>
          <w:rFonts w:hint="eastAsia" w:ascii="仿宋" w:hAnsi="仿宋" w:eastAsia="仿宋"/>
          <w:sz w:val="28"/>
          <w:szCs w:val="28"/>
        </w:rPr>
        <w:t>面</w:t>
      </w:r>
      <w:r>
        <w:rPr>
          <w:rFonts w:ascii="仿宋" w:hAnsi="仿宋" w:eastAsia="仿宋"/>
          <w:sz w:val="28"/>
          <w:szCs w:val="28"/>
        </w:rPr>
        <w:t>催告，在</w:t>
      </w:r>
      <w:r>
        <w:rPr>
          <w:rFonts w:hint="eastAsia" w:ascii="仿宋" w:hAnsi="仿宋" w:eastAsia="仿宋"/>
          <w:sz w:val="28"/>
          <w:szCs w:val="28"/>
        </w:rPr>
        <w:t>三</w:t>
      </w:r>
      <w:r>
        <w:rPr>
          <w:rFonts w:ascii="仿宋" w:hAnsi="仿宋" w:eastAsia="仿宋"/>
          <w:sz w:val="28"/>
          <w:szCs w:val="28"/>
        </w:rPr>
        <w:t>天内未予纠正的</w:t>
      </w:r>
      <w:r>
        <w:rPr>
          <w:rFonts w:hint="eastAsia" w:ascii="仿宋" w:hAnsi="仿宋" w:eastAsia="仿宋"/>
          <w:sz w:val="28"/>
          <w:szCs w:val="28"/>
        </w:rPr>
        <w:t>；</w:t>
      </w:r>
    </w:p>
    <w:p>
      <w:pPr>
        <w:ind w:firstLine="560"/>
        <w:rPr>
          <w:rFonts w:ascii="仿宋" w:hAnsi="仿宋" w:eastAsia="仿宋"/>
          <w:sz w:val="28"/>
          <w:szCs w:val="28"/>
        </w:rPr>
      </w:pPr>
      <w:r>
        <w:rPr>
          <w:rFonts w:ascii="仿宋" w:hAnsi="仿宋" w:eastAsia="仿宋"/>
          <w:sz w:val="28"/>
          <w:szCs w:val="28"/>
        </w:rPr>
        <w:t xml:space="preserve">e）  </w:t>
      </w:r>
      <w:r>
        <w:rPr>
          <w:rFonts w:hint="eastAsia" w:ascii="仿宋" w:hAnsi="仿宋" w:eastAsia="仿宋"/>
          <w:sz w:val="28"/>
          <w:szCs w:val="28"/>
        </w:rPr>
        <w:t>虽有上述第</w:t>
      </w:r>
      <w:r>
        <w:rPr>
          <w:rFonts w:ascii="仿宋" w:hAnsi="仿宋" w:eastAsia="仿宋"/>
          <w:sz w:val="28"/>
          <w:szCs w:val="28"/>
        </w:rPr>
        <w:t>d)项之规定，</w:t>
      </w:r>
      <w:r>
        <w:rPr>
          <w:rFonts w:hint="eastAsia" w:ascii="仿宋" w:hAnsi="仿宋" w:eastAsia="仿宋"/>
          <w:sz w:val="28"/>
          <w:szCs w:val="28"/>
        </w:rPr>
        <w:t>如</w:t>
      </w:r>
      <w:r>
        <w:rPr>
          <w:rFonts w:ascii="仿宋" w:hAnsi="仿宋" w:eastAsia="仿宋"/>
          <w:sz w:val="28"/>
          <w:szCs w:val="28"/>
        </w:rPr>
        <w:t>乙方在对租赁物业的装修或经营使用中，因自身过错行为而</w:t>
      </w:r>
      <w:r>
        <w:rPr>
          <w:rFonts w:hint="eastAsia" w:ascii="仿宋" w:hAnsi="仿宋" w:eastAsia="仿宋"/>
          <w:sz w:val="28"/>
          <w:szCs w:val="28"/>
        </w:rPr>
        <w:t>给租赁物业本身或相邻业主、承租户、周边居民等造成严重安全事故，或形成严重安全隐患或健康隐患的；</w:t>
      </w:r>
    </w:p>
    <w:p>
      <w:pPr>
        <w:ind w:firstLine="560"/>
        <w:rPr>
          <w:rFonts w:ascii="仿宋" w:hAnsi="仿宋" w:eastAsia="仿宋"/>
          <w:sz w:val="28"/>
          <w:szCs w:val="28"/>
        </w:rPr>
      </w:pPr>
      <w:r>
        <w:rPr>
          <w:rFonts w:ascii="仿宋" w:hAnsi="仿宋" w:eastAsia="仿宋"/>
          <w:sz w:val="28"/>
          <w:szCs w:val="28"/>
        </w:rPr>
        <w:t xml:space="preserve">f） </w:t>
      </w:r>
      <w:r>
        <w:rPr>
          <w:rFonts w:hint="eastAsia" w:ascii="仿宋" w:hAnsi="仿宋" w:eastAsia="仿宋"/>
          <w:sz w:val="28"/>
          <w:szCs w:val="28"/>
        </w:rPr>
        <w:t>乙方违反本合同第</w:t>
      </w: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条的规定，将租赁物业擅自转租、转</w:t>
      </w:r>
      <w:r>
        <w:rPr>
          <w:rFonts w:hint="eastAsia" w:ascii="仿宋" w:hAnsi="仿宋" w:eastAsia="仿宋"/>
          <w:sz w:val="28"/>
          <w:szCs w:val="28"/>
        </w:rPr>
        <w:t>借与第三人、或擅自与第三方联营的；</w:t>
      </w:r>
    </w:p>
    <w:p>
      <w:pPr>
        <w:ind w:firstLine="560"/>
        <w:rPr>
          <w:rFonts w:ascii="仿宋" w:hAnsi="仿宋" w:eastAsia="仿宋"/>
          <w:sz w:val="28"/>
          <w:szCs w:val="28"/>
        </w:rPr>
      </w:pPr>
      <w:r>
        <w:rPr>
          <w:rFonts w:ascii="仿宋" w:hAnsi="仿宋" w:eastAsia="仿宋"/>
          <w:sz w:val="28"/>
          <w:szCs w:val="28"/>
        </w:rPr>
        <w:t xml:space="preserve">g）  </w:t>
      </w:r>
      <w:r>
        <w:rPr>
          <w:rFonts w:hint="eastAsia" w:ascii="仿宋" w:hAnsi="仿宋" w:eastAsia="仿宋"/>
          <w:sz w:val="28"/>
          <w:szCs w:val="28"/>
        </w:rPr>
        <w:t>乙方违反本合同约定</w:t>
      </w:r>
      <w:r>
        <w:rPr>
          <w:rFonts w:ascii="仿宋" w:hAnsi="仿宋" w:eastAsia="仿宋"/>
          <w:sz w:val="28"/>
          <w:szCs w:val="28"/>
        </w:rPr>
        <w:t>，</w:t>
      </w:r>
      <w:r>
        <w:rPr>
          <w:rFonts w:hint="eastAsia" w:ascii="仿宋" w:hAnsi="仿宋" w:eastAsia="仿宋"/>
          <w:sz w:val="28"/>
          <w:szCs w:val="28"/>
        </w:rPr>
        <w:t>未按期交纳或</w:t>
      </w:r>
      <w:r>
        <w:rPr>
          <w:rFonts w:ascii="仿宋" w:hAnsi="仿宋" w:eastAsia="仿宋"/>
          <w:sz w:val="28"/>
          <w:szCs w:val="28"/>
        </w:rPr>
        <w:t>未按期补足保证金，且经甲方书面催告，在</w:t>
      </w:r>
      <w:r>
        <w:rPr>
          <w:rFonts w:hint="eastAsia" w:ascii="仿宋" w:hAnsi="仿宋" w:eastAsia="仿宋"/>
          <w:sz w:val="28"/>
          <w:szCs w:val="28"/>
        </w:rPr>
        <w:t>三</w:t>
      </w:r>
      <w:r>
        <w:rPr>
          <w:rFonts w:ascii="仿宋" w:hAnsi="仿宋" w:eastAsia="仿宋"/>
          <w:sz w:val="28"/>
          <w:szCs w:val="28"/>
        </w:rPr>
        <w:t>天内未予纠正的。</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5如出现本合同第</w:t>
      </w: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2条、第18.3条、第</w:t>
      </w: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.4条所述之情形而导致甲方解除本合同的，乙方除应赔偿由此</w:t>
      </w:r>
      <w:r>
        <w:rPr>
          <w:rFonts w:hint="eastAsia" w:ascii="仿宋" w:hAnsi="仿宋" w:eastAsia="仿宋"/>
          <w:sz w:val="28"/>
          <w:szCs w:val="28"/>
        </w:rPr>
        <w:t>给</w:t>
      </w:r>
      <w:r>
        <w:rPr>
          <w:rFonts w:ascii="仿宋" w:hAnsi="仿宋" w:eastAsia="仿宋"/>
          <w:sz w:val="28"/>
          <w:szCs w:val="28"/>
        </w:rPr>
        <w:t>甲方造成的一切实际损失外，还应</w:t>
      </w:r>
      <w:r>
        <w:rPr>
          <w:rFonts w:hint="eastAsia" w:ascii="仿宋" w:hAnsi="仿宋" w:eastAsia="仿宋"/>
          <w:sz w:val="28"/>
          <w:szCs w:val="28"/>
        </w:rPr>
        <w:t>按</w:t>
      </w:r>
      <w:r>
        <w:rPr>
          <w:rFonts w:ascii="仿宋" w:hAnsi="仿宋" w:eastAsia="仿宋"/>
          <w:sz w:val="28"/>
          <w:szCs w:val="28"/>
        </w:rPr>
        <w:t>本合同</w:t>
      </w:r>
      <w:r>
        <w:rPr>
          <w:rFonts w:hint="eastAsia" w:ascii="仿宋" w:hAnsi="仿宋" w:eastAsia="仿宋"/>
          <w:sz w:val="28"/>
          <w:szCs w:val="28"/>
        </w:rPr>
        <w:t>第一年</w:t>
      </w:r>
      <w:r>
        <w:rPr>
          <w:rFonts w:ascii="仿宋" w:hAnsi="仿宋" w:eastAsia="仿宋"/>
          <w:sz w:val="28"/>
          <w:szCs w:val="28"/>
        </w:rPr>
        <w:t>总</w:t>
      </w:r>
      <w:r>
        <w:rPr>
          <w:rFonts w:hint="eastAsia" w:ascii="仿宋" w:hAnsi="仿宋" w:eastAsia="仿宋"/>
          <w:sz w:val="28"/>
          <w:szCs w:val="28"/>
        </w:rPr>
        <w:t>租赁费用</w:t>
      </w:r>
      <w:r>
        <w:rPr>
          <w:rFonts w:ascii="仿宋" w:hAnsi="仿宋" w:eastAsia="仿宋"/>
          <w:sz w:val="28"/>
          <w:szCs w:val="28"/>
        </w:rPr>
        <w:t>的</w:t>
      </w:r>
      <w:r>
        <w:rPr>
          <w:rFonts w:hint="eastAsia" w:ascii="仿宋" w:hAnsi="仿宋" w:eastAsia="仿宋"/>
          <w:sz w:val="28"/>
          <w:szCs w:val="28"/>
        </w:rPr>
        <w:t>80</w:t>
      </w:r>
      <w:r>
        <w:rPr>
          <w:rFonts w:ascii="仿宋" w:hAnsi="仿宋" w:eastAsia="仿宋"/>
          <w:sz w:val="28"/>
          <w:szCs w:val="28"/>
        </w:rPr>
        <w:t>％向甲方支付违约金。</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6如果乙方违反本合同的约定，提前退租，则乙方已支付的保证金不予退还，且乙方还应按本合同第一年总租赁费用</w:t>
      </w:r>
      <w:r>
        <w:rPr>
          <w:rFonts w:ascii="仿宋" w:hAnsi="仿宋" w:eastAsia="仿宋"/>
          <w:sz w:val="28"/>
          <w:szCs w:val="28"/>
        </w:rPr>
        <w:t>的</w:t>
      </w:r>
      <w:r>
        <w:rPr>
          <w:rFonts w:hint="eastAsia" w:ascii="仿宋" w:hAnsi="仿宋" w:eastAsia="仿宋"/>
          <w:sz w:val="28"/>
          <w:szCs w:val="28"/>
        </w:rPr>
        <w:t>8</w:t>
      </w:r>
      <w:r>
        <w:rPr>
          <w:rFonts w:ascii="仿宋" w:hAnsi="仿宋" w:eastAsia="仿宋"/>
          <w:sz w:val="28"/>
          <w:szCs w:val="28"/>
        </w:rPr>
        <w:t>0％向甲方支付违约金</w:t>
      </w:r>
      <w:r>
        <w:rPr>
          <w:rFonts w:hint="eastAsia" w:ascii="仿宋" w:hAnsi="仿宋" w:eastAsia="仿宋"/>
          <w:sz w:val="28"/>
          <w:szCs w:val="28"/>
        </w:rPr>
        <w:t>；</w:t>
      </w:r>
      <w:r>
        <w:rPr>
          <w:rFonts w:ascii="仿宋" w:hAnsi="仿宋" w:eastAsia="仿宋"/>
          <w:sz w:val="28"/>
          <w:szCs w:val="28"/>
        </w:rPr>
        <w:t>如果上述保证金、违约金尚不足弥补甲方的实际损失，乙方还应就不足部分继续赔偿。</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7</w:t>
      </w:r>
      <w:r>
        <w:rPr>
          <w:rFonts w:ascii="仿宋" w:hAnsi="仿宋" w:eastAsia="仿宋"/>
          <w:sz w:val="28"/>
          <w:szCs w:val="28"/>
        </w:rPr>
        <w:t>如乙方未履行本合同第1</w:t>
      </w:r>
      <w:r>
        <w:rPr>
          <w:rFonts w:hint="eastAsia" w:ascii="仿宋" w:hAnsi="仿宋" w:eastAsia="仿宋"/>
          <w:sz w:val="28"/>
          <w:szCs w:val="28"/>
        </w:rPr>
        <w:t>2</w:t>
      </w:r>
      <w:r>
        <w:rPr>
          <w:rFonts w:ascii="仿宋" w:hAnsi="仿宋" w:eastAsia="仿宋"/>
          <w:sz w:val="28"/>
          <w:szCs w:val="28"/>
        </w:rPr>
        <w:t>条约定的物业修复义务、或未履行本合同第1</w:t>
      </w:r>
      <w:r>
        <w:rPr>
          <w:rFonts w:hint="eastAsia" w:ascii="仿宋" w:hAnsi="仿宋" w:eastAsia="仿宋"/>
          <w:sz w:val="28"/>
          <w:szCs w:val="28"/>
        </w:rPr>
        <w:t>2</w:t>
      </w:r>
      <w:r>
        <w:rPr>
          <w:rFonts w:ascii="仿宋" w:hAnsi="仿宋" w:eastAsia="仿宋"/>
          <w:sz w:val="28"/>
          <w:szCs w:val="28"/>
        </w:rPr>
        <w:t>条约定的对设备设施的维护／保养/</w:t>
      </w:r>
      <w:r>
        <w:rPr>
          <w:rFonts w:hint="eastAsia" w:ascii="仿宋" w:hAnsi="仿宋" w:eastAsia="仿宋"/>
          <w:sz w:val="28"/>
          <w:szCs w:val="28"/>
        </w:rPr>
        <w:t>运作</w:t>
      </w:r>
      <w:r>
        <w:rPr>
          <w:rFonts w:ascii="仿宋" w:hAnsi="仿宋" w:eastAsia="仿宋"/>
          <w:sz w:val="28"/>
          <w:szCs w:val="28"/>
        </w:rPr>
        <w:t>/</w:t>
      </w:r>
      <w:r>
        <w:rPr>
          <w:rFonts w:hint="eastAsia" w:ascii="仿宋" w:hAnsi="仿宋" w:eastAsia="仿宋"/>
          <w:sz w:val="28"/>
          <w:szCs w:val="28"/>
        </w:rPr>
        <w:t>年检/安检义务、或未履行本合同第</w:t>
      </w: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条约定的对第三方的赔偿义务，则视为乙方构成违约。甲方</w:t>
      </w:r>
      <w:r>
        <w:rPr>
          <w:rFonts w:hint="eastAsia" w:ascii="仿宋" w:hAnsi="仿宋" w:eastAsia="仿宋"/>
          <w:sz w:val="28"/>
          <w:szCs w:val="28"/>
        </w:rPr>
        <w:t>可</w:t>
      </w:r>
      <w:r>
        <w:rPr>
          <w:rFonts w:ascii="仿宋" w:hAnsi="仿宋" w:eastAsia="仿宋"/>
          <w:sz w:val="28"/>
          <w:szCs w:val="28"/>
        </w:rPr>
        <w:t>书</w:t>
      </w:r>
      <w:r>
        <w:rPr>
          <w:rFonts w:hint="eastAsia" w:ascii="仿宋" w:hAnsi="仿宋" w:eastAsia="仿宋"/>
          <w:sz w:val="28"/>
          <w:szCs w:val="28"/>
        </w:rPr>
        <w:t>面催告乙方履行，如经甲方书面催告，乙方在三天内未予履行或履行不完全的，则自第三天届满后，甲方有权选择继续要求乙方履行或由甲方代为履行，如甲方选择代为履行，则甲方有权从保证金中扣除由此产生的费用，乙方应按本合同第</w:t>
      </w:r>
      <w:r>
        <w:rPr>
          <w:rFonts w:ascii="仿宋" w:hAnsi="仿宋" w:eastAsia="仿宋"/>
          <w:sz w:val="28"/>
          <w:szCs w:val="28"/>
        </w:rPr>
        <w:t>7.2条的要求及时将保证金补足，并赔偿甲方由此遭受的一切实际损失。</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8</w:t>
      </w:r>
      <w:r>
        <w:rPr>
          <w:rFonts w:ascii="仿宋" w:hAnsi="仿宋" w:eastAsia="仿宋"/>
          <w:sz w:val="28"/>
          <w:szCs w:val="28"/>
        </w:rPr>
        <w:t>如乙方违反第1</w:t>
      </w: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10</w:t>
      </w:r>
      <w:r>
        <w:rPr>
          <w:rFonts w:ascii="仿宋" w:hAnsi="仿宋" w:eastAsia="仿宋"/>
          <w:sz w:val="28"/>
          <w:szCs w:val="28"/>
        </w:rPr>
        <w:t>条的约定，经甲方书面催告，在</w:t>
      </w:r>
      <w:r>
        <w:rPr>
          <w:rFonts w:hint="eastAsia" w:ascii="仿宋" w:hAnsi="仿宋" w:eastAsia="仿宋"/>
          <w:sz w:val="28"/>
          <w:szCs w:val="28"/>
        </w:rPr>
        <w:t>三</w:t>
      </w:r>
      <w:r>
        <w:rPr>
          <w:rFonts w:ascii="仿宋" w:hAnsi="仿宋" w:eastAsia="仿宋"/>
          <w:sz w:val="28"/>
          <w:szCs w:val="28"/>
        </w:rPr>
        <w:t>天内未予纠正的，则自第</w:t>
      </w:r>
      <w:r>
        <w:rPr>
          <w:rFonts w:hint="eastAsia" w:ascii="仿宋" w:hAnsi="仿宋" w:eastAsia="仿宋"/>
          <w:sz w:val="28"/>
          <w:szCs w:val="28"/>
        </w:rPr>
        <w:t>三</w:t>
      </w:r>
      <w:r>
        <w:rPr>
          <w:rFonts w:ascii="仿宋" w:hAnsi="仿宋" w:eastAsia="仿宋"/>
          <w:sz w:val="28"/>
          <w:szCs w:val="28"/>
        </w:rPr>
        <w:t>天届满后，甲方有权选择继续要求乙方自行拆</w:t>
      </w:r>
      <w:r>
        <w:rPr>
          <w:rFonts w:hint="eastAsia" w:ascii="仿宋" w:hAnsi="仿宋" w:eastAsia="仿宋"/>
          <w:sz w:val="28"/>
          <w:szCs w:val="28"/>
        </w:rPr>
        <w:t>除或由甲方代为拆除招牌、广告。如甲方选择代为拆除，则甲方有权从保证金中扣除由此产生的费用，乙方应按本合同第</w:t>
      </w:r>
      <w:r>
        <w:rPr>
          <w:rFonts w:ascii="仿宋" w:hAnsi="仿宋" w:eastAsia="仿宋"/>
          <w:sz w:val="28"/>
          <w:szCs w:val="28"/>
        </w:rPr>
        <w:t>7.2条的要求及时将保证金补足，并赔偿甲方由此遭受的一切实际损失。</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9</w:t>
      </w:r>
      <w:r>
        <w:rPr>
          <w:rFonts w:ascii="仿宋" w:hAnsi="仿宋" w:eastAsia="仿宋"/>
          <w:sz w:val="28"/>
          <w:szCs w:val="28"/>
        </w:rPr>
        <w:t>如甲乙任何一方未履行本合同项下的其他义务，应承担由此</w:t>
      </w:r>
      <w:r>
        <w:rPr>
          <w:rFonts w:hint="eastAsia" w:ascii="仿宋" w:hAnsi="仿宋" w:eastAsia="仿宋"/>
          <w:sz w:val="28"/>
          <w:szCs w:val="28"/>
        </w:rPr>
        <w:t>给对方造成的一切实际损失。</w:t>
      </w:r>
    </w:p>
    <w:p>
      <w:pPr>
        <w:ind w:firstLine="56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10</w:t>
      </w:r>
      <w:r>
        <w:rPr>
          <w:rFonts w:ascii="仿宋" w:hAnsi="仿宋" w:eastAsia="仿宋"/>
          <w:sz w:val="28"/>
          <w:szCs w:val="28"/>
        </w:rPr>
        <w:t>虽有上述第1</w:t>
      </w:r>
      <w:r>
        <w:rPr>
          <w:rFonts w:hint="eastAsia" w:ascii="仿宋" w:hAnsi="仿宋" w:eastAsia="仿宋"/>
          <w:sz w:val="28"/>
          <w:szCs w:val="28"/>
        </w:rPr>
        <w:t>8</w:t>
      </w:r>
      <w:r>
        <w:rPr>
          <w:rFonts w:ascii="仿宋" w:hAnsi="仿宋" w:eastAsia="仿宋"/>
          <w:sz w:val="28"/>
          <w:szCs w:val="28"/>
        </w:rPr>
        <w:t>.1—1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9</w:t>
      </w:r>
      <w:r>
        <w:rPr>
          <w:rFonts w:ascii="仿宋" w:hAnsi="仿宋" w:eastAsia="仿宋"/>
          <w:sz w:val="28"/>
          <w:szCs w:val="28"/>
        </w:rPr>
        <w:t>条的约定，如违约系因不可抗力所致，则应按本合同第1</w:t>
      </w:r>
      <w:r>
        <w:rPr>
          <w:rFonts w:hint="eastAsia" w:ascii="仿宋" w:hAnsi="仿宋" w:eastAsia="仿宋"/>
          <w:sz w:val="28"/>
          <w:szCs w:val="28"/>
        </w:rPr>
        <w:t>9</w:t>
      </w:r>
      <w:r>
        <w:rPr>
          <w:rFonts w:ascii="仿宋" w:hAnsi="仿宋" w:eastAsia="仿宋"/>
          <w:sz w:val="28"/>
          <w:szCs w:val="28"/>
        </w:rPr>
        <w:t>条处理。</w:t>
      </w:r>
    </w:p>
    <w:p>
      <w:pPr>
        <w:rPr>
          <w:rFonts w:ascii="仿宋" w:hAnsi="仿宋" w:eastAsia="仿宋"/>
          <w:b/>
          <w:sz w:val="28"/>
          <w:szCs w:val="28"/>
        </w:rPr>
      </w:pPr>
      <w:r>
        <w:rPr>
          <w:rFonts w:hint="eastAsia" w:ascii="仿宋" w:hAnsi="仿宋" w:eastAsia="仿宋"/>
          <w:b/>
          <w:sz w:val="28"/>
          <w:szCs w:val="28"/>
        </w:rPr>
        <w:t>第十九</w:t>
      </w:r>
      <w:r>
        <w:rPr>
          <w:rFonts w:ascii="仿宋" w:hAnsi="仿宋" w:eastAsia="仿宋"/>
          <w:b/>
          <w:sz w:val="28"/>
          <w:szCs w:val="28"/>
        </w:rPr>
        <w:t>条不可抗力</w:t>
      </w:r>
    </w:p>
    <w:p>
      <w:pPr>
        <w:ind w:firstLine="560"/>
        <w:rPr>
          <w:rFonts w:ascii="仿宋" w:hAnsi="仿宋" w:eastAsia="仿宋"/>
          <w:sz w:val="28"/>
          <w:szCs w:val="28"/>
        </w:rPr>
      </w:pPr>
      <w:r>
        <w:rPr>
          <w:rFonts w:hint="eastAsia" w:ascii="仿宋" w:hAnsi="仿宋" w:eastAsia="仿宋"/>
          <w:sz w:val="28"/>
          <w:szCs w:val="28"/>
        </w:rPr>
        <w:t>19</w:t>
      </w:r>
      <w:r>
        <w:rPr>
          <w:rFonts w:ascii="仿宋" w:hAnsi="仿宋" w:eastAsia="仿宋"/>
          <w:sz w:val="28"/>
          <w:szCs w:val="28"/>
        </w:rPr>
        <w:t>.1</w:t>
      </w:r>
      <w:r>
        <w:rPr>
          <w:rFonts w:hint="eastAsia" w:ascii="仿宋" w:hAnsi="仿宋" w:eastAsia="仿宋"/>
          <w:sz w:val="28"/>
          <w:szCs w:val="28"/>
        </w:rPr>
        <w:t>“不可抗力”系指一方不能预见、不能避免并不能克服，妨碍该方履行其在本合同项下的全部或大部分义务的一切事件，包括但不限于：自然灾害，战争，暴乱，政府将租赁物业征收、拆除、或另作处理等。与此同时，甲乙双方一致理解：乙方租赁物业内发生的非天灾原因引发的火灾、水灾、虫灾、爆炸等不属于不可抗力。</w:t>
      </w:r>
    </w:p>
    <w:p>
      <w:pPr>
        <w:ind w:firstLine="560"/>
        <w:rPr>
          <w:rFonts w:ascii="仿宋" w:hAnsi="仿宋" w:eastAsia="仿宋"/>
          <w:sz w:val="28"/>
          <w:szCs w:val="28"/>
        </w:rPr>
      </w:pPr>
      <w:r>
        <w:rPr>
          <w:rFonts w:hint="eastAsia" w:ascii="仿宋" w:hAnsi="仿宋" w:eastAsia="仿宋"/>
          <w:sz w:val="28"/>
          <w:szCs w:val="28"/>
        </w:rPr>
        <w:t>19</w:t>
      </w:r>
      <w:r>
        <w:rPr>
          <w:rFonts w:ascii="仿宋" w:hAnsi="仿宋" w:eastAsia="仿宋"/>
          <w:sz w:val="28"/>
          <w:szCs w:val="28"/>
        </w:rPr>
        <w:t>.2任何一方如因不可抗力而不能履行其在本合同项下的义务，该方应在不可抗力发生后三日内书面通知另一方，并应尽可能采取</w:t>
      </w:r>
      <w:r>
        <w:rPr>
          <w:rFonts w:hint="eastAsia" w:ascii="仿宋" w:hAnsi="仿宋" w:eastAsia="仿宋"/>
          <w:sz w:val="28"/>
          <w:szCs w:val="28"/>
        </w:rPr>
        <w:t>合理措施避免对方损失的扩大。</w:t>
      </w:r>
    </w:p>
    <w:p>
      <w:pPr>
        <w:ind w:firstLine="560"/>
        <w:rPr>
          <w:rFonts w:ascii="仿宋" w:hAnsi="仿宋" w:eastAsia="仿宋"/>
          <w:sz w:val="28"/>
          <w:szCs w:val="28"/>
        </w:rPr>
      </w:pPr>
      <w:r>
        <w:rPr>
          <w:rFonts w:hint="eastAsia" w:ascii="仿宋" w:hAnsi="仿宋" w:eastAsia="仿宋"/>
          <w:sz w:val="28"/>
          <w:szCs w:val="28"/>
        </w:rPr>
        <w:t>19</w:t>
      </w:r>
      <w:r>
        <w:rPr>
          <w:rFonts w:ascii="仿宋" w:hAnsi="仿宋" w:eastAsia="仿宋"/>
          <w:sz w:val="28"/>
          <w:szCs w:val="28"/>
        </w:rPr>
        <w:t>.3任何一方因不可抗力而停止或延迟履行义务，不构成违约</w:t>
      </w:r>
      <w:r>
        <w:rPr>
          <w:rFonts w:hint="eastAsia" w:ascii="仿宋" w:hAnsi="仿宋" w:eastAsia="仿宋"/>
          <w:sz w:val="28"/>
          <w:szCs w:val="28"/>
        </w:rPr>
        <w:t>。</w:t>
      </w:r>
      <w:r>
        <w:rPr>
          <w:rFonts w:ascii="仿宋" w:hAnsi="仿宋" w:eastAsia="仿宋"/>
          <w:sz w:val="28"/>
          <w:szCs w:val="28"/>
        </w:rPr>
        <w:t>如因此致使对方遭受任何损失，该方无需向对方承担任何赔偿或补偿责任。但该遭受不可抗力的一方有义务按照上述第1</w:t>
      </w:r>
      <w:r>
        <w:rPr>
          <w:rFonts w:hint="eastAsia" w:ascii="仿宋" w:hAnsi="仿宋" w:eastAsia="仿宋"/>
          <w:sz w:val="28"/>
          <w:szCs w:val="28"/>
        </w:rPr>
        <w:t>9</w:t>
      </w:r>
      <w:r>
        <w:rPr>
          <w:rFonts w:ascii="仿宋" w:hAnsi="仿宋" w:eastAsia="仿宋"/>
          <w:sz w:val="28"/>
          <w:szCs w:val="28"/>
        </w:rPr>
        <w:t>.2条的约定，及时履行通知义务，并采取</w:t>
      </w:r>
      <w:r>
        <w:rPr>
          <w:rFonts w:hint="eastAsia" w:ascii="仿宋" w:hAnsi="仿宋" w:eastAsia="仿宋"/>
          <w:sz w:val="28"/>
          <w:szCs w:val="28"/>
        </w:rPr>
        <w:t>合理的措施避免对方损失的扩大，否则应对延迟通知或未能采取合理措施所导致的对方损失的扩大部分承担赔偿责任。</w:t>
      </w:r>
    </w:p>
    <w:p>
      <w:pPr>
        <w:rPr>
          <w:rFonts w:ascii="仿宋" w:hAnsi="仿宋" w:eastAsia="仿宋"/>
          <w:b/>
          <w:sz w:val="28"/>
          <w:szCs w:val="28"/>
        </w:rPr>
      </w:pPr>
      <w:r>
        <w:rPr>
          <w:rFonts w:hint="eastAsia" w:ascii="仿宋" w:hAnsi="仿宋" w:eastAsia="仿宋"/>
          <w:b/>
          <w:sz w:val="28"/>
          <w:szCs w:val="28"/>
        </w:rPr>
        <w:t>第二十</w:t>
      </w:r>
      <w:r>
        <w:rPr>
          <w:rFonts w:ascii="仿宋" w:hAnsi="仿宋" w:eastAsia="仿宋"/>
          <w:b/>
          <w:sz w:val="28"/>
          <w:szCs w:val="28"/>
        </w:rPr>
        <w:t>条附件</w:t>
      </w:r>
    </w:p>
    <w:p>
      <w:pPr>
        <w:ind w:firstLine="560"/>
        <w:rPr>
          <w:rFonts w:ascii="仿宋" w:hAnsi="仿宋" w:eastAsia="仿宋"/>
          <w:sz w:val="28"/>
          <w:szCs w:val="28"/>
        </w:rPr>
      </w:pPr>
      <w:r>
        <w:rPr>
          <w:rFonts w:hint="eastAsia" w:ascii="仿宋" w:hAnsi="仿宋" w:eastAsia="仿宋"/>
          <w:sz w:val="28"/>
          <w:szCs w:val="28"/>
        </w:rPr>
        <w:t>20</w:t>
      </w:r>
      <w:r>
        <w:rPr>
          <w:rFonts w:ascii="仿宋" w:hAnsi="仿宋" w:eastAsia="仿宋"/>
          <w:sz w:val="28"/>
          <w:szCs w:val="28"/>
        </w:rPr>
        <w:t>.1</w:t>
      </w:r>
      <w:r>
        <w:rPr>
          <w:rFonts w:hint="eastAsia" w:ascii="仿宋" w:hAnsi="仿宋" w:eastAsia="仿宋"/>
          <w:sz w:val="28"/>
          <w:szCs w:val="28"/>
        </w:rPr>
        <w:t>本合同任何附件为本合同不可分割的组成部分，与本合同具有相同效力。除非本合同另有约定，否则，如本合同条款的规定与任何附件的规定有不一致之处，应以本合同条款规定为准。</w:t>
      </w:r>
    </w:p>
    <w:p>
      <w:pPr>
        <w:rPr>
          <w:rFonts w:ascii="仿宋" w:hAnsi="仿宋" w:eastAsia="仿宋"/>
          <w:b/>
          <w:sz w:val="28"/>
          <w:szCs w:val="28"/>
        </w:rPr>
      </w:pPr>
      <w:r>
        <w:rPr>
          <w:rFonts w:hint="eastAsia" w:ascii="仿宋" w:hAnsi="仿宋" w:eastAsia="仿宋"/>
          <w:b/>
          <w:sz w:val="28"/>
          <w:szCs w:val="28"/>
        </w:rPr>
        <w:t>第二十一</w:t>
      </w:r>
      <w:r>
        <w:rPr>
          <w:rFonts w:ascii="仿宋" w:hAnsi="仿宋" w:eastAsia="仿宋"/>
          <w:b/>
          <w:sz w:val="28"/>
          <w:szCs w:val="28"/>
        </w:rPr>
        <w:t>条本合同的生效</w:t>
      </w:r>
    </w:p>
    <w:p>
      <w:pPr>
        <w:ind w:firstLine="560"/>
        <w:rPr>
          <w:rFonts w:ascii="仿宋" w:hAnsi="仿宋" w:eastAsia="仿宋"/>
          <w:sz w:val="28"/>
          <w:szCs w:val="28"/>
        </w:rPr>
      </w:pPr>
      <w:r>
        <w:rPr>
          <w:rFonts w:hint="eastAsia" w:ascii="仿宋" w:hAnsi="仿宋" w:eastAsia="仿宋"/>
          <w:sz w:val="28"/>
          <w:szCs w:val="28"/>
        </w:rPr>
        <w:t>本合同自甲乙双方签字盖章后</w:t>
      </w:r>
      <w:r>
        <w:rPr>
          <w:rFonts w:ascii="仿宋" w:hAnsi="仿宋" w:eastAsia="仿宋"/>
          <w:sz w:val="28"/>
          <w:szCs w:val="28"/>
        </w:rPr>
        <w:t>即行生效。</w:t>
      </w:r>
    </w:p>
    <w:p>
      <w:pPr>
        <w:rPr>
          <w:rFonts w:ascii="仿宋" w:hAnsi="仿宋" w:eastAsia="仿宋"/>
          <w:b/>
          <w:sz w:val="28"/>
          <w:szCs w:val="28"/>
        </w:rPr>
      </w:pPr>
      <w:r>
        <w:rPr>
          <w:rFonts w:hint="eastAsia" w:ascii="仿宋" w:hAnsi="仿宋" w:eastAsia="仿宋"/>
          <w:b/>
          <w:sz w:val="28"/>
          <w:szCs w:val="28"/>
        </w:rPr>
        <w:t>第二十二</w:t>
      </w:r>
      <w:r>
        <w:rPr>
          <w:rFonts w:ascii="仿宋" w:hAnsi="仿宋" w:eastAsia="仿宋"/>
          <w:b/>
          <w:sz w:val="28"/>
          <w:szCs w:val="28"/>
        </w:rPr>
        <w:t>条本合同的效力、可分割性、修订或补充</w:t>
      </w:r>
    </w:p>
    <w:p>
      <w:pPr>
        <w:ind w:firstLine="56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.1本合同一经生效，即取代甲乙双方以前与本合同事项有关的全部口头和书面协议、合同、谅解和通信。</w:t>
      </w:r>
    </w:p>
    <w:p>
      <w:pPr>
        <w:ind w:firstLine="56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 xml:space="preserve">.2如果本合同按现行有效之法律法规或政府要求，须进行登记备 </w:t>
      </w:r>
      <w:r>
        <w:rPr>
          <w:rFonts w:hint="eastAsia" w:ascii="仿宋" w:hAnsi="仿宋" w:eastAsia="仿宋"/>
          <w:sz w:val="28"/>
          <w:szCs w:val="28"/>
        </w:rPr>
        <w:t>案，而备案登记的有关政府部门要求双方使用其所制定的标准租赁合同文本，则本合同应作为上述标准合同的补充合同附于其后；但无论是否能将本合同作为上述标准合同的补充合同附于其后，在本合同和上述标准合同不一致时，以本合同为准。</w:t>
      </w:r>
    </w:p>
    <w:p>
      <w:pPr>
        <w:ind w:firstLine="56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.3本合同中的任何条款的无效或附件中任何内容的无效均不影响本合同及附件中的其他内容的效力。</w:t>
      </w:r>
    </w:p>
    <w:p>
      <w:pPr>
        <w:ind w:firstLine="560"/>
        <w:rPr>
          <w:rFonts w:ascii="仿宋" w:hAnsi="仿宋" w:eastAsia="仿宋"/>
          <w:sz w:val="28"/>
          <w:szCs w:val="28"/>
        </w:rPr>
      </w:pPr>
      <w:r>
        <w:rPr>
          <w:rFonts w:hint="eastAsia" w:ascii="仿宋" w:hAnsi="仿宋" w:eastAsia="仿宋"/>
          <w:sz w:val="28"/>
          <w:szCs w:val="28"/>
        </w:rPr>
        <w:t>22</w:t>
      </w:r>
      <w:r>
        <w:rPr>
          <w:rFonts w:ascii="仿宋" w:hAnsi="仿宋" w:eastAsia="仿宋"/>
          <w:sz w:val="28"/>
          <w:szCs w:val="28"/>
        </w:rPr>
        <w:t>.4本合同(包括附件)的修订、或制订与该合同有关的补充协议，需以书面方式进行，由甲乙双方</w:t>
      </w:r>
      <w:r>
        <w:rPr>
          <w:rFonts w:hint="eastAsia" w:ascii="仿宋" w:hAnsi="仿宋" w:eastAsia="仿宋"/>
          <w:sz w:val="28"/>
          <w:szCs w:val="28"/>
        </w:rPr>
        <w:t>签字盖章生效</w:t>
      </w:r>
      <w:r>
        <w:rPr>
          <w:rFonts w:ascii="仿宋" w:hAnsi="仿宋" w:eastAsia="仿宋"/>
          <w:sz w:val="28"/>
          <w:szCs w:val="28"/>
        </w:rPr>
        <w:t>。</w:t>
      </w:r>
    </w:p>
    <w:p>
      <w:pPr>
        <w:rPr>
          <w:rFonts w:ascii="仿宋" w:hAnsi="仿宋" w:eastAsia="仿宋"/>
          <w:b/>
          <w:sz w:val="28"/>
          <w:szCs w:val="28"/>
        </w:rPr>
      </w:pPr>
      <w:r>
        <w:rPr>
          <w:rFonts w:hint="eastAsia" w:ascii="仿宋" w:hAnsi="仿宋" w:eastAsia="仿宋"/>
          <w:b/>
          <w:sz w:val="28"/>
          <w:szCs w:val="28"/>
        </w:rPr>
        <w:t>第二十三</w:t>
      </w:r>
      <w:r>
        <w:rPr>
          <w:rFonts w:ascii="仿宋" w:hAnsi="仿宋" w:eastAsia="仿宋"/>
          <w:b/>
          <w:sz w:val="28"/>
          <w:szCs w:val="28"/>
        </w:rPr>
        <w:t>条法律的适用及争议的解决</w:t>
      </w:r>
    </w:p>
    <w:p>
      <w:pPr>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3</w:t>
      </w:r>
      <w:r>
        <w:rPr>
          <w:rFonts w:ascii="仿宋" w:hAnsi="仿宋" w:eastAsia="仿宋"/>
          <w:sz w:val="28"/>
          <w:szCs w:val="28"/>
        </w:rPr>
        <w:t>.1本合同的订立、效力、解释、履行、修改和终止均适用中国现行有效之法律。</w:t>
      </w:r>
    </w:p>
    <w:p>
      <w:pPr>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2因本合同引起或与本合同有关的任何争议应由甲乙双方通过友好协商解决，协商不成，任何一方均可提起诉讼。与此同时，甲乙双方同意，因本合同引起或与本合同有关的任何争议均可向租赁物业所在地有管辖权的人民法院提起诉讼。</w:t>
      </w:r>
    </w:p>
    <w:p>
      <w:pPr>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3在解决争议的过程中，甲乙双方应在本合同所有其他有效方面继续履行本合同。</w:t>
      </w:r>
    </w:p>
    <w:p>
      <w:pPr>
        <w:rPr>
          <w:rFonts w:ascii="仿宋" w:hAnsi="仿宋" w:eastAsia="仿宋"/>
          <w:b/>
          <w:sz w:val="28"/>
          <w:szCs w:val="28"/>
        </w:rPr>
      </w:pPr>
      <w:r>
        <w:rPr>
          <w:rFonts w:hint="eastAsia" w:ascii="仿宋" w:hAnsi="仿宋" w:eastAsia="仿宋"/>
          <w:b/>
          <w:sz w:val="28"/>
          <w:szCs w:val="28"/>
        </w:rPr>
        <w:t>第二十四</w:t>
      </w:r>
      <w:r>
        <w:rPr>
          <w:rFonts w:ascii="仿宋" w:hAnsi="仿宋" w:eastAsia="仿宋"/>
          <w:b/>
          <w:sz w:val="28"/>
          <w:szCs w:val="28"/>
        </w:rPr>
        <w:t>条其他</w:t>
      </w:r>
    </w:p>
    <w:p>
      <w:pPr>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4</w:t>
      </w:r>
      <w:r>
        <w:rPr>
          <w:rFonts w:ascii="仿宋" w:hAnsi="仿宋" w:eastAsia="仿宋"/>
          <w:sz w:val="28"/>
          <w:szCs w:val="28"/>
        </w:rPr>
        <w:t>.1甲乙各方申明：任何一方未能或延迟行使其在本合同项下享有的任何权利</w:t>
      </w:r>
      <w:r>
        <w:rPr>
          <w:rFonts w:hint="eastAsia" w:ascii="仿宋" w:hAnsi="仿宋" w:eastAsia="仿宋"/>
          <w:sz w:val="28"/>
          <w:szCs w:val="28"/>
        </w:rPr>
        <w:t>，</w:t>
      </w:r>
      <w:r>
        <w:rPr>
          <w:rFonts w:ascii="仿宋" w:hAnsi="仿宋" w:eastAsia="仿宋"/>
          <w:sz w:val="28"/>
          <w:szCs w:val="28"/>
        </w:rPr>
        <w:t>或未能或延迟要求另一方全面履行本合同项下之义务，均不应构成其对该等权利的放弃；单一或部分地行使任何权利亦不构成其对行使其他权利的放弃。</w:t>
      </w:r>
    </w:p>
    <w:p>
      <w:pPr>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4</w:t>
      </w:r>
      <w:r>
        <w:rPr>
          <w:rFonts w:ascii="仿宋" w:hAnsi="仿宋" w:eastAsia="仿宋"/>
          <w:sz w:val="28"/>
          <w:szCs w:val="28"/>
        </w:rPr>
        <w:t>.2凡因本合同的履行而向对方发出的任何通知(包括但不限于：提出异议、催告、权利主张、解除合同等)，必须采用书面形式。</w:t>
      </w:r>
    </w:p>
    <w:p>
      <w:pPr>
        <w:ind w:firstLine="560"/>
        <w:rPr>
          <w:rFonts w:ascii="仿宋" w:hAnsi="仿宋" w:eastAsia="仿宋"/>
          <w:sz w:val="28"/>
          <w:szCs w:val="28"/>
        </w:rPr>
      </w:pPr>
      <w:r>
        <w:rPr>
          <w:rFonts w:hint="eastAsia" w:ascii="仿宋" w:hAnsi="仿宋" w:eastAsia="仿宋"/>
          <w:sz w:val="28"/>
          <w:szCs w:val="28"/>
        </w:rPr>
        <w:t>24.3甲乙双方同意合同首部地址为书面文件送达地址，任何一方变更以上内容，应当及时以书面形式通知另一方，否则对方或行政司法部门按上述地址寄送文件，邮寄  天后视为已送达，怠于通知的一方应当承担对其不利的法律后果。</w:t>
      </w:r>
    </w:p>
    <w:p>
      <w:pPr>
        <w:ind w:firstLine="560"/>
        <w:rPr>
          <w:rFonts w:ascii="仿宋" w:hAnsi="仿宋" w:eastAsia="仿宋"/>
          <w:sz w:val="28"/>
          <w:szCs w:val="28"/>
        </w:rPr>
      </w:pPr>
      <w:r>
        <w:rPr>
          <w:rFonts w:hint="eastAsia" w:ascii="仿宋" w:hAnsi="仿宋" w:eastAsia="仿宋"/>
          <w:sz w:val="28"/>
          <w:szCs w:val="28"/>
        </w:rPr>
        <w:t>24.3.1 甲方通讯地址及指定联系人：</w:t>
      </w:r>
    </w:p>
    <w:p>
      <w:pPr>
        <w:ind w:firstLine="560"/>
        <w:rPr>
          <w:rFonts w:ascii="仿宋" w:hAnsi="仿宋" w:eastAsia="仿宋"/>
          <w:sz w:val="28"/>
          <w:szCs w:val="28"/>
        </w:rPr>
      </w:pPr>
      <w:r>
        <w:rPr>
          <w:rFonts w:hint="eastAsia" w:ascii="仿宋" w:hAnsi="仿宋" w:eastAsia="仿宋"/>
          <w:sz w:val="28"/>
          <w:szCs w:val="28"/>
        </w:rPr>
        <w:t xml:space="preserve">       地址：</w:t>
      </w:r>
    </w:p>
    <w:p>
      <w:pPr>
        <w:ind w:firstLine="560"/>
        <w:rPr>
          <w:rFonts w:ascii="仿宋" w:hAnsi="仿宋" w:eastAsia="仿宋"/>
          <w:sz w:val="28"/>
          <w:szCs w:val="28"/>
        </w:rPr>
      </w:pPr>
      <w:r>
        <w:rPr>
          <w:rFonts w:hint="eastAsia" w:ascii="仿宋" w:hAnsi="仿宋" w:eastAsia="仿宋"/>
          <w:sz w:val="28"/>
          <w:szCs w:val="28"/>
        </w:rPr>
        <w:t xml:space="preserve">       联系人：</w:t>
      </w:r>
    </w:p>
    <w:p>
      <w:pPr>
        <w:ind w:firstLine="560"/>
        <w:rPr>
          <w:rFonts w:ascii="仿宋" w:hAnsi="仿宋" w:eastAsia="仿宋"/>
          <w:sz w:val="28"/>
          <w:szCs w:val="28"/>
        </w:rPr>
      </w:pPr>
      <w:r>
        <w:rPr>
          <w:rFonts w:hint="eastAsia" w:ascii="仿宋" w:hAnsi="仿宋" w:eastAsia="仿宋"/>
          <w:sz w:val="28"/>
          <w:szCs w:val="28"/>
        </w:rPr>
        <w:t xml:space="preserve">       联系方式：</w:t>
      </w:r>
    </w:p>
    <w:p>
      <w:pPr>
        <w:ind w:firstLine="560"/>
        <w:rPr>
          <w:rFonts w:ascii="仿宋" w:hAnsi="仿宋" w:eastAsia="仿宋"/>
          <w:sz w:val="28"/>
          <w:szCs w:val="28"/>
        </w:rPr>
      </w:pPr>
      <w:r>
        <w:rPr>
          <w:rFonts w:hint="eastAsia" w:ascii="仿宋" w:hAnsi="仿宋" w:eastAsia="仿宋"/>
          <w:sz w:val="28"/>
          <w:szCs w:val="28"/>
        </w:rPr>
        <w:t>24.3.2 乙方通讯地址及指定联系人：</w:t>
      </w:r>
    </w:p>
    <w:p>
      <w:pPr>
        <w:ind w:firstLine="1582" w:firstLineChars="565"/>
        <w:rPr>
          <w:rFonts w:ascii="仿宋" w:hAnsi="仿宋" w:eastAsia="仿宋"/>
          <w:sz w:val="28"/>
          <w:szCs w:val="28"/>
        </w:rPr>
      </w:pPr>
      <w:r>
        <w:rPr>
          <w:rFonts w:hint="eastAsia" w:ascii="仿宋" w:hAnsi="仿宋" w:eastAsia="仿宋"/>
          <w:sz w:val="28"/>
          <w:szCs w:val="28"/>
        </w:rPr>
        <w:t>地址：</w:t>
      </w:r>
    </w:p>
    <w:p>
      <w:pPr>
        <w:ind w:firstLine="560"/>
        <w:rPr>
          <w:rFonts w:ascii="仿宋" w:hAnsi="仿宋" w:eastAsia="仿宋"/>
          <w:sz w:val="28"/>
          <w:szCs w:val="28"/>
        </w:rPr>
      </w:pPr>
      <w:r>
        <w:rPr>
          <w:rFonts w:hint="eastAsia" w:ascii="仿宋" w:hAnsi="仿宋" w:eastAsia="仿宋"/>
          <w:sz w:val="28"/>
          <w:szCs w:val="28"/>
        </w:rPr>
        <w:t xml:space="preserve">       联系人：</w:t>
      </w:r>
    </w:p>
    <w:p>
      <w:pPr>
        <w:ind w:firstLine="560"/>
        <w:rPr>
          <w:rFonts w:ascii="仿宋" w:hAnsi="仿宋" w:eastAsia="仿宋"/>
          <w:sz w:val="28"/>
          <w:szCs w:val="28"/>
        </w:rPr>
      </w:pPr>
      <w:r>
        <w:rPr>
          <w:rFonts w:hint="eastAsia" w:ascii="仿宋" w:hAnsi="仿宋" w:eastAsia="仿宋"/>
          <w:sz w:val="28"/>
          <w:szCs w:val="28"/>
        </w:rPr>
        <w:t xml:space="preserve">       联系方式：</w:t>
      </w:r>
    </w:p>
    <w:p>
      <w:pPr>
        <w:ind w:firstLine="560"/>
        <w:rPr>
          <w:rFonts w:ascii="仿宋" w:hAnsi="仿宋" w:eastAsia="仿宋"/>
          <w:sz w:val="28"/>
          <w:szCs w:val="28"/>
        </w:rPr>
      </w:pPr>
    </w:p>
    <w:p>
      <w:pPr>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4</w:t>
      </w:r>
      <w:r>
        <w:rPr>
          <w:rFonts w:ascii="仿宋" w:hAnsi="仿宋" w:eastAsia="仿宋"/>
          <w:sz w:val="28"/>
          <w:szCs w:val="28"/>
        </w:rPr>
        <w:t>本合同文本壹式</w:t>
      </w:r>
      <w:r>
        <w:rPr>
          <w:rFonts w:hint="eastAsia" w:ascii="仿宋" w:hAnsi="仿宋" w:eastAsia="仿宋"/>
          <w:sz w:val="28"/>
          <w:szCs w:val="28"/>
        </w:rPr>
        <w:t>肆</w:t>
      </w:r>
      <w:r>
        <w:rPr>
          <w:rFonts w:ascii="仿宋" w:hAnsi="仿宋" w:eastAsia="仿宋"/>
          <w:sz w:val="28"/>
          <w:szCs w:val="28"/>
        </w:rPr>
        <w:t>份，甲乙双方各持</w:t>
      </w:r>
      <w:r>
        <w:rPr>
          <w:rFonts w:hint="eastAsia" w:ascii="仿宋" w:hAnsi="仿宋" w:eastAsia="仿宋"/>
          <w:sz w:val="28"/>
          <w:szCs w:val="28"/>
        </w:rPr>
        <w:t>贰</w:t>
      </w:r>
      <w:r>
        <w:rPr>
          <w:rFonts w:ascii="仿宋" w:hAnsi="仿宋" w:eastAsia="仿宋"/>
          <w:sz w:val="28"/>
          <w:szCs w:val="28"/>
        </w:rPr>
        <w:t>份，均具有同等法律效力。</w:t>
      </w:r>
    </w:p>
    <w:p>
      <w:pPr>
        <w:ind w:firstLine="560"/>
        <w:rPr>
          <w:rFonts w:ascii="仿宋" w:hAnsi="仿宋" w:eastAsia="仿宋"/>
          <w:sz w:val="28"/>
          <w:szCs w:val="28"/>
        </w:rPr>
      </w:pPr>
      <w:r>
        <w:rPr>
          <w:rFonts w:hint="eastAsia" w:ascii="仿宋" w:hAnsi="仿宋" w:eastAsia="仿宋"/>
          <w:sz w:val="28"/>
          <w:szCs w:val="28"/>
        </w:rPr>
        <w:t>兹证明，甲乙双方之法定代表人或授权代表已于本合同首页所述日期签署本合同。</w:t>
      </w:r>
    </w:p>
    <w:p>
      <w:pPr>
        <w:ind w:firstLine="560"/>
        <w:rPr>
          <w:rFonts w:ascii="仿宋" w:hAnsi="仿宋" w:eastAsia="仿宋"/>
          <w:sz w:val="28"/>
          <w:szCs w:val="28"/>
        </w:rPr>
      </w:pPr>
      <w:r>
        <w:rPr>
          <w:rFonts w:ascii="仿宋" w:hAnsi="仿宋" w:eastAsia="仿宋"/>
          <w:sz w:val="28"/>
          <w:szCs w:val="28"/>
        </w:rPr>
        <w:t>(以下无正文)</w:t>
      </w:r>
    </w:p>
    <w:p>
      <w:pPr>
        <w:ind w:firstLine="560"/>
        <w:rPr>
          <w:rFonts w:ascii="仿宋" w:hAnsi="仿宋" w:eastAsia="仿宋"/>
          <w:sz w:val="28"/>
          <w:szCs w:val="28"/>
        </w:rPr>
      </w:pPr>
    </w:p>
    <w:p>
      <w:pPr>
        <w:ind w:firstLine="560"/>
        <w:rPr>
          <w:rFonts w:ascii="仿宋" w:hAnsi="仿宋" w:eastAsia="仿宋"/>
          <w:sz w:val="28"/>
          <w:szCs w:val="28"/>
        </w:rPr>
      </w:pPr>
      <w:r>
        <w:rPr>
          <w:rFonts w:hint="eastAsia" w:ascii="仿宋" w:hAnsi="仿宋" w:eastAsia="仿宋"/>
          <w:sz w:val="28"/>
          <w:szCs w:val="28"/>
        </w:rPr>
        <w:t>（以下无正文，为《长沙先导恒通商业有限公司商铺租赁合同》的签署页）</w:t>
      </w:r>
    </w:p>
    <w:p>
      <w:pPr>
        <w:ind w:firstLine="560"/>
        <w:rPr>
          <w:rFonts w:ascii="仿宋" w:hAnsi="仿宋" w:eastAsia="仿宋"/>
          <w:sz w:val="28"/>
          <w:szCs w:val="28"/>
        </w:rPr>
      </w:pPr>
      <w:r>
        <w:rPr>
          <w:rFonts w:hint="eastAsia" w:ascii="仿宋" w:hAnsi="仿宋" w:eastAsia="仿宋"/>
          <w:sz w:val="28"/>
          <w:szCs w:val="28"/>
        </w:rPr>
        <w:t>甲方：                      （公章）</w:t>
      </w:r>
    </w:p>
    <w:p>
      <w:pPr>
        <w:ind w:firstLine="560"/>
        <w:rPr>
          <w:rFonts w:ascii="仿宋" w:hAnsi="仿宋" w:eastAsia="仿宋"/>
          <w:sz w:val="28"/>
          <w:szCs w:val="28"/>
        </w:rPr>
      </w:pPr>
    </w:p>
    <w:p>
      <w:pPr>
        <w:ind w:firstLine="560"/>
        <w:rPr>
          <w:rFonts w:ascii="仿宋" w:hAnsi="仿宋" w:eastAsia="仿宋"/>
          <w:sz w:val="28"/>
          <w:szCs w:val="28"/>
        </w:rPr>
      </w:pPr>
      <w:r>
        <w:rPr>
          <w:rFonts w:hint="eastAsia" w:ascii="仿宋" w:hAnsi="仿宋" w:eastAsia="仿宋"/>
          <w:sz w:val="28"/>
          <w:szCs w:val="28"/>
        </w:rPr>
        <w:t xml:space="preserve">法定代表人／授权代表（签名）：  </w:t>
      </w:r>
    </w:p>
    <w:p>
      <w:pPr>
        <w:ind w:firstLine="560"/>
        <w:rPr>
          <w:rFonts w:ascii="仿宋" w:hAnsi="仿宋" w:eastAsia="仿宋"/>
          <w:sz w:val="28"/>
          <w:szCs w:val="28"/>
        </w:rPr>
      </w:pPr>
    </w:p>
    <w:p>
      <w:pPr>
        <w:ind w:firstLine="560"/>
        <w:rPr>
          <w:rFonts w:ascii="仿宋" w:hAnsi="仿宋" w:eastAsia="仿宋"/>
          <w:sz w:val="28"/>
          <w:szCs w:val="28"/>
        </w:rPr>
      </w:pPr>
      <w:r>
        <w:rPr>
          <w:rFonts w:hint="eastAsia" w:ascii="仿宋" w:hAnsi="仿宋" w:eastAsia="仿宋"/>
          <w:sz w:val="28"/>
          <w:szCs w:val="28"/>
        </w:rPr>
        <w:t xml:space="preserve">身份证：                       签约时间：  </w:t>
      </w:r>
    </w:p>
    <w:p>
      <w:pPr>
        <w:ind w:firstLine="560"/>
        <w:rPr>
          <w:rFonts w:ascii="仿宋" w:hAnsi="仿宋" w:eastAsia="仿宋"/>
          <w:sz w:val="28"/>
          <w:szCs w:val="28"/>
        </w:rPr>
      </w:pPr>
    </w:p>
    <w:p>
      <w:pPr>
        <w:ind w:firstLine="560"/>
        <w:rPr>
          <w:rFonts w:ascii="仿宋" w:hAnsi="仿宋" w:eastAsia="仿宋"/>
          <w:sz w:val="28"/>
          <w:szCs w:val="28"/>
        </w:rPr>
      </w:pPr>
    </w:p>
    <w:p>
      <w:pPr>
        <w:ind w:firstLine="560"/>
        <w:rPr>
          <w:rFonts w:ascii="仿宋" w:hAnsi="仿宋" w:eastAsia="仿宋"/>
          <w:sz w:val="28"/>
          <w:szCs w:val="28"/>
        </w:rPr>
      </w:pPr>
      <w:r>
        <w:rPr>
          <w:rFonts w:hint="eastAsia" w:ascii="仿宋" w:hAnsi="仿宋" w:eastAsia="仿宋"/>
          <w:sz w:val="28"/>
          <w:szCs w:val="28"/>
        </w:rPr>
        <w:t xml:space="preserve">乙方：                             </w:t>
      </w:r>
      <w:r>
        <w:rPr>
          <w:rFonts w:ascii="仿宋" w:hAnsi="仿宋" w:eastAsia="仿宋"/>
          <w:sz w:val="28"/>
          <w:szCs w:val="28"/>
        </w:rPr>
        <w:t>(公章)</w:t>
      </w:r>
    </w:p>
    <w:p>
      <w:pPr>
        <w:ind w:firstLine="560"/>
        <w:rPr>
          <w:rFonts w:ascii="仿宋" w:hAnsi="仿宋" w:eastAsia="仿宋"/>
          <w:sz w:val="28"/>
          <w:szCs w:val="28"/>
        </w:rPr>
      </w:pPr>
      <w:r>
        <w:rPr>
          <w:rFonts w:hint="eastAsia" w:ascii="仿宋" w:hAnsi="仿宋" w:eastAsia="仿宋"/>
          <w:sz w:val="28"/>
          <w:szCs w:val="28"/>
        </w:rPr>
        <w:t xml:space="preserve">法定代表人，授权代表（签名）： </w:t>
      </w:r>
    </w:p>
    <w:p>
      <w:pPr>
        <w:ind w:firstLine="560"/>
        <w:rPr>
          <w:rFonts w:ascii="仿宋" w:hAnsi="仿宋" w:eastAsia="仿宋"/>
          <w:sz w:val="28"/>
          <w:szCs w:val="28"/>
        </w:rPr>
      </w:pPr>
      <w:r>
        <w:rPr>
          <w:rFonts w:hint="eastAsia" w:ascii="仿宋" w:hAnsi="仿宋" w:eastAsia="仿宋"/>
          <w:sz w:val="28"/>
          <w:szCs w:val="28"/>
        </w:rPr>
        <w:t xml:space="preserve">身份证：                       签约时间： </w:t>
      </w:r>
    </w:p>
    <w:p>
      <w:pPr>
        <w:spacing w:line="500" w:lineRule="exact"/>
        <w:jc w:val="center"/>
        <w:rPr>
          <w:rFonts w:ascii="宋体" w:hAnsi="宋体" w:cs="仿宋"/>
          <w:b/>
          <w:sz w:val="24"/>
          <w:szCs w:val="30"/>
        </w:rPr>
      </w:pPr>
    </w:p>
    <w:p>
      <w:pPr>
        <w:spacing w:line="500" w:lineRule="exact"/>
        <w:jc w:val="center"/>
        <w:rPr>
          <w:rFonts w:ascii="宋体" w:hAnsi="宋体" w:cs="仿宋"/>
          <w:b/>
          <w:sz w:val="24"/>
          <w:szCs w:val="30"/>
        </w:rPr>
      </w:pPr>
    </w:p>
    <w:p>
      <w:pPr>
        <w:spacing w:line="500" w:lineRule="exact"/>
        <w:jc w:val="center"/>
        <w:rPr>
          <w:rFonts w:ascii="宋体" w:hAnsi="宋体" w:cs="仿宋"/>
          <w:b/>
          <w:sz w:val="24"/>
          <w:szCs w:val="30"/>
        </w:rPr>
      </w:pPr>
    </w:p>
    <w:p>
      <w:pPr>
        <w:spacing w:line="560" w:lineRule="exact"/>
        <w:jc w:val="center"/>
      </w:pPr>
    </w:p>
    <w:p/>
    <w:p/>
    <w:p/>
    <w:p/>
    <w:p/>
    <w:p/>
    <w:p/>
    <w:p/>
    <w:p/>
    <w:p>
      <w:pPr>
        <w:pStyle w:val="2"/>
        <w:spacing w:line="360" w:lineRule="auto"/>
        <w:ind w:firstLine="3092" w:firstLineChars="700"/>
      </w:pPr>
      <w:r>
        <w:rPr>
          <w:rFonts w:hint="eastAsia"/>
        </w:rPr>
        <w:t>第五章  投标文件</w:t>
      </w:r>
      <w:bookmarkEnd w:id="70"/>
      <w:bookmarkEnd w:id="71"/>
      <w:r>
        <w:rPr>
          <w:rFonts w:hint="eastAsia"/>
        </w:rPr>
        <w:t>格式</w:t>
      </w: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rPr>
          <w:sz w:val="32"/>
          <w:szCs w:val="32"/>
          <w:u w:val="single"/>
        </w:rPr>
      </w:pPr>
    </w:p>
    <w:p>
      <w:pPr>
        <w:pStyle w:val="30"/>
        <w:widowControl w:val="0"/>
        <w:spacing w:before="0" w:beforeAutospacing="0" w:after="0" w:afterAutospacing="0" w:line="360" w:lineRule="auto"/>
        <w:jc w:val="both"/>
        <w:rPr>
          <w:sz w:val="44"/>
          <w:szCs w:val="44"/>
        </w:rPr>
      </w:pPr>
      <w:r>
        <w:rPr>
          <w:sz w:val="44"/>
          <w:szCs w:val="44"/>
        </w:rPr>
        <w:br w:type="page"/>
      </w:r>
    </w:p>
    <w:p>
      <w:pPr>
        <w:pStyle w:val="30"/>
        <w:widowControl w:val="0"/>
        <w:spacing w:before="0" w:beforeAutospacing="0" w:after="0" w:afterAutospacing="0" w:line="360" w:lineRule="auto"/>
        <w:jc w:val="center"/>
        <w:rPr>
          <w:sz w:val="44"/>
          <w:szCs w:val="44"/>
        </w:rPr>
      </w:pPr>
      <w:r>
        <w:rPr>
          <w:sz w:val="32"/>
          <w:szCs w:val="32"/>
          <w:u w:val="single"/>
        </w:rPr>
        <w:pict>
          <v:shape id="Text Box 15" o:spid="_x0000_s1026" o:spt="202" type="#_x0000_t202" style="position:absolute;left:0pt;margin-left:377.25pt;margin-top:2.75pt;height:39pt;width:99.75pt;z-index:251659264;mso-width-relative:page;mso-height-relative:page;" coordsize="21600,21600">
            <v:path/>
            <v:fill focussize="0,0"/>
            <v:stroke joinstyle="miter"/>
            <v:imagedata o:title=""/>
            <o:lock v:ext="edit"/>
            <v:textbox>
              <w:txbxContent>
                <w:p>
                  <w:pPr>
                    <w:spacing w:before="144" w:beforeLines="60" w:line="360" w:lineRule="auto"/>
                    <w:ind w:firstLine="105" w:firstLineChars="50"/>
                  </w:pPr>
                  <w:r>
                    <w:rPr>
                      <w:szCs w:val="32"/>
                    </w:rPr>
                    <w:t>正本（或）</w:t>
                  </w:r>
                  <w:r>
                    <w:rPr>
                      <w:rFonts w:hint="eastAsia"/>
                      <w:szCs w:val="32"/>
                    </w:rPr>
                    <w:t>副本</w:t>
                  </w:r>
                </w:p>
              </w:txbxContent>
            </v:textbox>
          </v:shape>
        </w:pict>
      </w:r>
    </w:p>
    <w:p>
      <w:pPr>
        <w:pStyle w:val="30"/>
        <w:widowControl w:val="0"/>
        <w:spacing w:before="0" w:beforeAutospacing="0" w:after="0" w:afterAutospacing="0" w:line="360" w:lineRule="auto"/>
        <w:jc w:val="center"/>
        <w:rPr>
          <w:sz w:val="44"/>
          <w:szCs w:val="44"/>
        </w:rPr>
      </w:pPr>
    </w:p>
    <w:p>
      <w:pPr>
        <w:pStyle w:val="30"/>
        <w:widowControl w:val="0"/>
        <w:spacing w:before="0" w:beforeAutospacing="0" w:after="0" w:afterAutospacing="0" w:line="360" w:lineRule="auto"/>
        <w:jc w:val="center"/>
        <w:rPr>
          <w:sz w:val="44"/>
          <w:szCs w:val="44"/>
        </w:rPr>
      </w:pPr>
      <w:r>
        <w:rPr>
          <w:rFonts w:hint="eastAsia"/>
          <w:sz w:val="44"/>
          <w:szCs w:val="44"/>
        </w:rPr>
        <w:t>西中心T3裙楼购物中心1层至5层经营权项目</w:t>
      </w:r>
    </w:p>
    <w:p>
      <w:pPr>
        <w:pStyle w:val="30"/>
        <w:rPr>
          <w:sz w:val="32"/>
          <w:szCs w:val="32"/>
        </w:rPr>
      </w:pPr>
    </w:p>
    <w:p>
      <w:pPr>
        <w:pStyle w:val="30"/>
        <w:rPr>
          <w:sz w:val="32"/>
          <w:szCs w:val="32"/>
        </w:rPr>
      </w:pPr>
    </w:p>
    <w:p>
      <w:pPr>
        <w:pStyle w:val="30"/>
        <w:rPr>
          <w:sz w:val="32"/>
          <w:szCs w:val="32"/>
        </w:rPr>
      </w:pPr>
    </w:p>
    <w:p>
      <w:pPr>
        <w:pStyle w:val="30"/>
        <w:jc w:val="center"/>
        <w:rPr>
          <w:sz w:val="44"/>
          <w:szCs w:val="44"/>
        </w:rPr>
      </w:pPr>
      <w:r>
        <w:rPr>
          <w:rFonts w:hint="eastAsia"/>
          <w:sz w:val="44"/>
          <w:szCs w:val="44"/>
        </w:rPr>
        <w:t>投  标  文  件</w:t>
      </w:r>
    </w:p>
    <w:p>
      <w:pPr>
        <w:pStyle w:val="30"/>
        <w:jc w:val="center"/>
        <w:rPr>
          <w:sz w:val="32"/>
          <w:szCs w:val="32"/>
        </w:rPr>
      </w:pPr>
    </w:p>
    <w:p>
      <w:pPr>
        <w:pStyle w:val="30"/>
        <w:rPr>
          <w:sz w:val="32"/>
          <w:szCs w:val="32"/>
        </w:rPr>
      </w:pPr>
    </w:p>
    <w:p>
      <w:pPr>
        <w:pStyle w:val="30"/>
        <w:jc w:val="center"/>
        <w:rPr>
          <w:sz w:val="32"/>
          <w:szCs w:val="32"/>
        </w:rPr>
      </w:pPr>
    </w:p>
    <w:p>
      <w:pPr>
        <w:pStyle w:val="30"/>
        <w:rPr>
          <w:sz w:val="32"/>
          <w:szCs w:val="32"/>
        </w:rPr>
      </w:pPr>
    </w:p>
    <w:p>
      <w:pPr>
        <w:spacing w:line="360" w:lineRule="auto"/>
        <w:rPr>
          <w:sz w:val="32"/>
          <w:szCs w:val="32"/>
        </w:rPr>
      </w:pPr>
    </w:p>
    <w:p>
      <w:pPr>
        <w:spacing w:line="360" w:lineRule="auto"/>
        <w:rPr>
          <w:sz w:val="32"/>
          <w:szCs w:val="32"/>
        </w:rPr>
      </w:pPr>
    </w:p>
    <w:p>
      <w:pPr>
        <w:spacing w:line="480" w:lineRule="auto"/>
        <w:jc w:val="center"/>
        <w:rPr>
          <w:sz w:val="32"/>
          <w:szCs w:val="32"/>
          <w:u w:val="single"/>
        </w:rPr>
      </w:pPr>
      <w:r>
        <w:rPr>
          <w:rFonts w:hint="eastAsia"/>
          <w:sz w:val="32"/>
          <w:szCs w:val="32"/>
        </w:rPr>
        <w:t>投  标  人：</w:t>
      </w:r>
      <w:r>
        <w:rPr>
          <w:rFonts w:hint="eastAsia"/>
          <w:sz w:val="32"/>
          <w:szCs w:val="32"/>
          <w:u w:val="single"/>
        </w:rPr>
        <w:t xml:space="preserve">            （全称）       </w:t>
      </w:r>
      <w:r>
        <w:rPr>
          <w:rFonts w:hint="eastAsia"/>
          <w:sz w:val="32"/>
          <w:szCs w:val="32"/>
        </w:rPr>
        <w:t>（盖单位公章）</w:t>
      </w:r>
    </w:p>
    <w:p>
      <w:pPr>
        <w:spacing w:line="480" w:lineRule="auto"/>
        <w:jc w:val="center"/>
        <w:rPr>
          <w:sz w:val="32"/>
          <w:szCs w:val="32"/>
        </w:rPr>
      </w:pPr>
      <w:r>
        <w:rPr>
          <w:rFonts w:hint="eastAsia"/>
          <w:sz w:val="32"/>
          <w:szCs w:val="32"/>
        </w:rPr>
        <w:t>法定代表人或其委托代理人：</w:t>
      </w:r>
      <w:r>
        <w:rPr>
          <w:rFonts w:hint="eastAsia"/>
          <w:sz w:val="32"/>
          <w:szCs w:val="32"/>
          <w:u w:val="single"/>
        </w:rPr>
        <w:t xml:space="preserve">             </w:t>
      </w:r>
      <w:r>
        <w:rPr>
          <w:rFonts w:hint="eastAsia"/>
          <w:sz w:val="32"/>
          <w:szCs w:val="32"/>
        </w:rPr>
        <w:t>（签字或盖章）</w:t>
      </w:r>
    </w:p>
    <w:p>
      <w:pPr>
        <w:spacing w:line="480" w:lineRule="auto"/>
        <w:jc w:val="center"/>
        <w:rPr>
          <w:sz w:val="32"/>
          <w:szCs w:val="32"/>
        </w:rPr>
      </w:pP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p>
      <w:pPr>
        <w:spacing w:line="600" w:lineRule="exact"/>
        <w:rPr>
          <w:sz w:val="36"/>
          <w:szCs w:val="36"/>
        </w:rPr>
      </w:pPr>
    </w:p>
    <w:p>
      <w:pPr>
        <w:spacing w:line="600" w:lineRule="exact"/>
        <w:ind w:left="480"/>
        <w:jc w:val="center"/>
        <w:rPr>
          <w:sz w:val="36"/>
          <w:szCs w:val="36"/>
        </w:rPr>
      </w:pPr>
    </w:p>
    <w:p>
      <w:pPr>
        <w:spacing w:line="600" w:lineRule="exact"/>
        <w:ind w:left="480"/>
        <w:jc w:val="center"/>
        <w:rPr>
          <w:sz w:val="36"/>
          <w:szCs w:val="36"/>
        </w:rPr>
      </w:pPr>
    </w:p>
    <w:p>
      <w:pPr>
        <w:spacing w:line="600" w:lineRule="exact"/>
        <w:ind w:left="480"/>
        <w:jc w:val="center"/>
        <w:rPr>
          <w:sz w:val="36"/>
          <w:szCs w:val="36"/>
        </w:rPr>
      </w:pPr>
    </w:p>
    <w:p>
      <w:pPr>
        <w:spacing w:line="600" w:lineRule="exact"/>
        <w:ind w:left="480"/>
        <w:jc w:val="center"/>
        <w:rPr>
          <w:sz w:val="36"/>
          <w:szCs w:val="36"/>
        </w:rPr>
      </w:pPr>
    </w:p>
    <w:p>
      <w:pPr>
        <w:spacing w:line="600" w:lineRule="exact"/>
        <w:ind w:left="480"/>
        <w:jc w:val="center"/>
        <w:rPr>
          <w:sz w:val="36"/>
          <w:szCs w:val="36"/>
        </w:rPr>
      </w:pPr>
      <w:r>
        <w:rPr>
          <w:rFonts w:hint="eastAsia"/>
          <w:sz w:val="36"/>
          <w:szCs w:val="36"/>
        </w:rPr>
        <w:t>目   录</w:t>
      </w:r>
    </w:p>
    <w:p>
      <w:pPr>
        <w:spacing w:line="600" w:lineRule="exact"/>
        <w:ind w:left="480"/>
        <w:rPr>
          <w:sz w:val="24"/>
        </w:rPr>
      </w:pPr>
      <w:r>
        <w:rPr>
          <w:rFonts w:hint="eastAsia"/>
          <w:sz w:val="24"/>
        </w:rPr>
        <w:t>一、投标函</w:t>
      </w:r>
    </w:p>
    <w:p>
      <w:pPr>
        <w:spacing w:line="600" w:lineRule="exact"/>
        <w:ind w:left="480"/>
        <w:rPr>
          <w:sz w:val="24"/>
        </w:rPr>
      </w:pPr>
      <w:r>
        <w:rPr>
          <w:rFonts w:hint="eastAsia"/>
          <w:sz w:val="24"/>
        </w:rPr>
        <w:t>二、法定代表身份证明和授权委托书</w:t>
      </w:r>
    </w:p>
    <w:p>
      <w:pPr>
        <w:spacing w:line="600" w:lineRule="exact"/>
        <w:ind w:left="480"/>
        <w:rPr>
          <w:sz w:val="24"/>
        </w:rPr>
      </w:pPr>
      <w:r>
        <w:rPr>
          <w:rFonts w:hint="eastAsia"/>
          <w:sz w:val="24"/>
        </w:rPr>
        <w:t>三、投标人基本情况说明</w:t>
      </w:r>
    </w:p>
    <w:p>
      <w:pPr>
        <w:spacing w:line="600" w:lineRule="exact"/>
        <w:ind w:left="480"/>
        <w:rPr>
          <w:sz w:val="24"/>
        </w:rPr>
      </w:pPr>
      <w:r>
        <w:rPr>
          <w:rFonts w:hint="eastAsia"/>
          <w:sz w:val="24"/>
        </w:rPr>
        <w:t>四、投标报价表</w:t>
      </w:r>
    </w:p>
    <w:p>
      <w:pPr>
        <w:spacing w:line="600" w:lineRule="exact"/>
        <w:ind w:left="480"/>
        <w:rPr>
          <w:sz w:val="24"/>
        </w:rPr>
      </w:pPr>
      <w:r>
        <w:rPr>
          <w:rFonts w:hint="eastAsia"/>
          <w:sz w:val="24"/>
        </w:rPr>
        <w:t>五、投标承诺书</w:t>
      </w:r>
    </w:p>
    <w:p>
      <w:pPr>
        <w:spacing w:line="600" w:lineRule="exact"/>
        <w:ind w:left="480"/>
        <w:rPr>
          <w:sz w:val="24"/>
        </w:rPr>
      </w:pPr>
      <w:r>
        <w:rPr>
          <w:rFonts w:hint="eastAsia"/>
          <w:sz w:val="24"/>
        </w:rPr>
        <w:t>六、拟投入本项目的人员情况表</w:t>
      </w:r>
    </w:p>
    <w:p>
      <w:pPr>
        <w:spacing w:line="600" w:lineRule="exact"/>
        <w:ind w:left="480"/>
        <w:rPr>
          <w:sz w:val="24"/>
        </w:rPr>
      </w:pPr>
      <w:r>
        <w:rPr>
          <w:rFonts w:hint="eastAsia"/>
          <w:sz w:val="24"/>
        </w:rPr>
        <w:t>七、主要项目经营业绩表</w:t>
      </w:r>
    </w:p>
    <w:p>
      <w:pPr>
        <w:spacing w:line="600" w:lineRule="exact"/>
        <w:ind w:left="480"/>
        <w:rPr>
          <w:sz w:val="24"/>
        </w:rPr>
      </w:pPr>
      <w:r>
        <w:rPr>
          <w:rFonts w:hint="eastAsia"/>
          <w:sz w:val="24"/>
        </w:rPr>
        <w:t>八、投标资格证明文件</w:t>
      </w:r>
    </w:p>
    <w:p>
      <w:pPr>
        <w:spacing w:line="600" w:lineRule="exact"/>
        <w:ind w:left="480"/>
        <w:rPr>
          <w:sz w:val="24"/>
        </w:rPr>
      </w:pPr>
      <w:r>
        <w:rPr>
          <w:rFonts w:hint="eastAsia"/>
          <w:sz w:val="24"/>
        </w:rPr>
        <w:t>九、投标人需提供的其他资料</w:t>
      </w:r>
    </w:p>
    <w:p>
      <w:pPr>
        <w:spacing w:line="600" w:lineRule="exact"/>
        <w:ind w:left="480"/>
        <w:rPr>
          <w:sz w:val="24"/>
        </w:rPr>
      </w:pPr>
      <w:r>
        <w:rPr>
          <w:rFonts w:hint="eastAsia"/>
          <w:sz w:val="24"/>
        </w:rPr>
        <w:t>十、经营管理</w:t>
      </w:r>
      <w:r>
        <w:rPr>
          <w:rFonts w:hint="eastAsia"/>
          <w:bCs/>
          <w:kern w:val="0"/>
          <w:sz w:val="24"/>
          <w:lang w:val="zh-CN"/>
        </w:rPr>
        <w:t>方案</w:t>
      </w:r>
    </w:p>
    <w:p>
      <w:pPr>
        <w:pStyle w:val="3"/>
        <w:numPr>
          <w:ilvl w:val="1"/>
          <w:numId w:val="0"/>
        </w:numPr>
        <w:spacing w:line="600" w:lineRule="exact"/>
        <w:jc w:val="center"/>
        <w:rPr>
          <w:rFonts w:ascii="宋体" w:hAnsi="宋体" w:eastAsia="宋体"/>
          <w:w w:val="100"/>
          <w:kern w:val="32"/>
        </w:rPr>
      </w:pPr>
      <w:r>
        <w:rPr>
          <w:rFonts w:ascii="宋体" w:hAnsi="宋体" w:eastAsia="宋体"/>
          <w:sz w:val="24"/>
        </w:rPr>
        <w:br w:type="page"/>
      </w:r>
      <w:bookmarkStart w:id="72" w:name="_Toc321052835"/>
      <w:bookmarkStart w:id="73" w:name="_Toc318840511"/>
      <w:bookmarkStart w:id="74" w:name="_Toc227520436"/>
      <w:r>
        <w:rPr>
          <w:rFonts w:hint="eastAsia" w:ascii="宋体" w:hAnsi="宋体" w:eastAsia="宋体"/>
          <w:w w:val="100"/>
          <w:kern w:val="32"/>
        </w:rPr>
        <w:t>一、投标函</w:t>
      </w:r>
      <w:bookmarkEnd w:id="72"/>
      <w:bookmarkEnd w:id="73"/>
    </w:p>
    <w:p>
      <w:pPr>
        <w:spacing w:line="400" w:lineRule="exact"/>
        <w:rPr>
          <w:sz w:val="24"/>
        </w:rPr>
      </w:pPr>
      <w:r>
        <w:rPr>
          <w:rFonts w:hint="eastAsia"/>
          <w:sz w:val="24"/>
        </w:rPr>
        <w:t>致</w:t>
      </w:r>
      <w:r>
        <w:rPr>
          <w:rFonts w:hint="eastAsia"/>
          <w:sz w:val="24"/>
          <w:u w:val="single"/>
        </w:rPr>
        <w:t xml:space="preserve">               </w:t>
      </w:r>
      <w:r>
        <w:rPr>
          <w:rFonts w:hint="eastAsia"/>
          <w:sz w:val="24"/>
        </w:rPr>
        <w:t>（招标人）：</w:t>
      </w:r>
    </w:p>
    <w:p>
      <w:pPr>
        <w:spacing w:line="400" w:lineRule="exact"/>
        <w:ind w:firstLine="480"/>
        <w:rPr>
          <w:sz w:val="24"/>
        </w:rPr>
      </w:pPr>
      <w:r>
        <w:rPr>
          <w:rFonts w:hint="eastAsia"/>
          <w:sz w:val="24"/>
        </w:rPr>
        <w:t>1、根据已收到</w:t>
      </w:r>
      <w:r>
        <w:rPr>
          <w:rFonts w:hint="eastAsia"/>
          <w:sz w:val="24"/>
          <w:u w:val="single"/>
        </w:rPr>
        <w:t xml:space="preserve">         （项目名称）         </w:t>
      </w:r>
      <w:r>
        <w:rPr>
          <w:rFonts w:hint="eastAsia"/>
          <w:sz w:val="24"/>
        </w:rPr>
        <w:t xml:space="preserve"> 招标文件，我单位经踏勘项目现场和研究上述招标文件的投标须知、合同条款、相关情况说明和要求及其他有关文件后，我方愿以投标报价表中的价格进行报价。</w:t>
      </w:r>
    </w:p>
    <w:p>
      <w:pPr>
        <w:spacing w:line="400" w:lineRule="exact"/>
        <w:ind w:firstLine="480"/>
        <w:rPr>
          <w:sz w:val="24"/>
        </w:rPr>
      </w:pPr>
      <w:r>
        <w:rPr>
          <w:rFonts w:hint="eastAsia"/>
          <w:sz w:val="24"/>
        </w:rPr>
        <w:t>2、我方已详细审核全部招标文件，包括修改文件（如有时）及有关附件，并对上述内容完全响应。</w:t>
      </w:r>
    </w:p>
    <w:p>
      <w:pPr>
        <w:spacing w:line="400" w:lineRule="exact"/>
        <w:ind w:firstLine="480"/>
        <w:rPr>
          <w:sz w:val="24"/>
        </w:rPr>
      </w:pPr>
      <w:r>
        <w:rPr>
          <w:rFonts w:hint="eastAsia"/>
          <w:sz w:val="24"/>
        </w:rPr>
        <w:t>3、我方同意所提交的投标文件在</w:t>
      </w:r>
      <w:r>
        <w:rPr>
          <w:rFonts w:hint="eastAsia"/>
          <w:sz w:val="24"/>
          <w:u w:val="single"/>
        </w:rPr>
        <w:t xml:space="preserve"> 90 </w:t>
      </w:r>
      <w:r>
        <w:rPr>
          <w:rFonts w:hint="eastAsia"/>
          <w:sz w:val="24"/>
        </w:rPr>
        <w:t>天的投标有效期内有效，在此期间内如果中标，我方将受此约束。</w:t>
      </w:r>
    </w:p>
    <w:p>
      <w:pPr>
        <w:spacing w:line="400" w:lineRule="exact"/>
        <w:ind w:firstLine="480"/>
        <w:rPr>
          <w:sz w:val="24"/>
        </w:rPr>
      </w:pPr>
      <w:r>
        <w:rPr>
          <w:rFonts w:hint="eastAsia"/>
          <w:sz w:val="24"/>
        </w:rPr>
        <w:t>4、除非另外达成协议并生效，你方的中标通知书和本投标文件将成为约束双方的合同文件的组成部分。</w:t>
      </w:r>
    </w:p>
    <w:p>
      <w:pPr>
        <w:spacing w:line="400" w:lineRule="exact"/>
        <w:ind w:firstLine="480"/>
        <w:rPr>
          <w:sz w:val="24"/>
        </w:rPr>
      </w:pPr>
      <w:r>
        <w:rPr>
          <w:rFonts w:hint="eastAsia"/>
          <w:sz w:val="24"/>
        </w:rPr>
        <w:t>5、我方将与本投标函一起，提交人民币</w:t>
      </w:r>
      <w:bookmarkStart w:id="75" w:name="S_8_009"/>
      <w:r>
        <w:rPr>
          <w:rFonts w:hint="eastAsia"/>
          <w:sz w:val="24"/>
          <w:u w:val="single"/>
        </w:rPr>
        <w:t xml:space="preserve">            </w:t>
      </w:r>
      <w:bookmarkEnd w:id="75"/>
      <w:r>
        <w:rPr>
          <w:rFonts w:hint="eastAsia"/>
          <w:sz w:val="24"/>
        </w:rPr>
        <w:t>万元的投标保证金作为投标担保。</w:t>
      </w:r>
    </w:p>
    <w:p>
      <w:pPr>
        <w:spacing w:line="400" w:lineRule="exact"/>
        <w:ind w:firstLine="480"/>
        <w:rPr>
          <w:sz w:val="24"/>
        </w:rPr>
      </w:pPr>
      <w:r>
        <w:rPr>
          <w:rFonts w:hint="eastAsia"/>
          <w:sz w:val="24"/>
        </w:rPr>
        <w:t>6、我方同意按照招标文件有关约定，向招标代理机构支付招标代理服务费。</w:t>
      </w:r>
    </w:p>
    <w:p>
      <w:pPr>
        <w:spacing w:line="400" w:lineRule="exact"/>
        <w:ind w:firstLine="480" w:firstLineChars="200"/>
        <w:rPr>
          <w:sz w:val="24"/>
        </w:rPr>
      </w:pPr>
      <w:r>
        <w:rPr>
          <w:rFonts w:hint="eastAsia"/>
          <w:sz w:val="24"/>
        </w:rPr>
        <w:t>7、我方严格按照招标文件的规定报价，如被确定为中标人后，全面履行合同。</w:t>
      </w:r>
    </w:p>
    <w:p>
      <w:pPr>
        <w:spacing w:line="400" w:lineRule="exact"/>
        <w:ind w:firstLine="480" w:firstLineChars="200"/>
        <w:rPr>
          <w:sz w:val="24"/>
        </w:rPr>
      </w:pPr>
    </w:p>
    <w:p>
      <w:pPr>
        <w:spacing w:line="360" w:lineRule="auto"/>
        <w:ind w:firstLine="495"/>
        <w:rPr>
          <w:szCs w:val="21"/>
        </w:rPr>
      </w:pPr>
      <w:r>
        <w:rPr>
          <w:rFonts w:hint="eastAsia"/>
          <w:szCs w:val="21"/>
        </w:rPr>
        <w:t>投 标 人：</w:t>
      </w:r>
      <w:bookmarkStart w:id="76" w:name="S_8_010"/>
      <w:r>
        <w:rPr>
          <w:rFonts w:hint="eastAsia"/>
          <w:szCs w:val="21"/>
          <w:u w:val="single"/>
        </w:rPr>
        <w:t xml:space="preserve">               （全称）                </w:t>
      </w:r>
      <w:bookmarkEnd w:id="76"/>
      <w:r>
        <w:rPr>
          <w:rFonts w:hint="eastAsia"/>
          <w:szCs w:val="21"/>
        </w:rPr>
        <w:t>（盖单位公章）</w:t>
      </w:r>
    </w:p>
    <w:p>
      <w:pPr>
        <w:spacing w:line="360" w:lineRule="auto"/>
        <w:ind w:firstLine="495"/>
        <w:rPr>
          <w:szCs w:val="21"/>
        </w:rPr>
      </w:pPr>
    </w:p>
    <w:p>
      <w:pPr>
        <w:spacing w:line="360" w:lineRule="auto"/>
        <w:ind w:firstLine="495"/>
        <w:rPr>
          <w:szCs w:val="21"/>
          <w:u w:val="single"/>
        </w:rPr>
      </w:pPr>
      <w:r>
        <w:rPr>
          <w:rFonts w:hint="eastAsia"/>
          <w:szCs w:val="21"/>
        </w:rPr>
        <w:t>单位地址：</w:t>
      </w:r>
      <w:bookmarkStart w:id="77" w:name="S_8_011"/>
      <w:r>
        <w:rPr>
          <w:rFonts w:hint="eastAsia"/>
          <w:szCs w:val="21"/>
          <w:u w:val="single"/>
        </w:rPr>
        <w:t xml:space="preserve">                                        </w:t>
      </w:r>
      <w:bookmarkEnd w:id="77"/>
    </w:p>
    <w:p>
      <w:pPr>
        <w:spacing w:line="360" w:lineRule="auto"/>
        <w:ind w:firstLine="495"/>
        <w:rPr>
          <w:szCs w:val="21"/>
        </w:rPr>
      </w:pPr>
    </w:p>
    <w:p>
      <w:pPr>
        <w:spacing w:line="360" w:lineRule="auto"/>
        <w:ind w:firstLine="495"/>
        <w:rPr>
          <w:szCs w:val="21"/>
        </w:rPr>
      </w:pPr>
      <w:r>
        <w:rPr>
          <w:rFonts w:hint="eastAsia"/>
          <w:szCs w:val="21"/>
        </w:rPr>
        <w:t>法定代表人或其委托代理人：</w:t>
      </w:r>
      <w:bookmarkStart w:id="78" w:name="S_8_012"/>
      <w:r>
        <w:rPr>
          <w:rFonts w:hint="eastAsia"/>
          <w:szCs w:val="21"/>
          <w:u w:val="single"/>
        </w:rPr>
        <w:t xml:space="preserve">                </w:t>
      </w:r>
      <w:bookmarkEnd w:id="78"/>
      <w:r>
        <w:rPr>
          <w:rFonts w:hint="eastAsia"/>
          <w:szCs w:val="21"/>
        </w:rPr>
        <w:t>（签字或盖章）</w:t>
      </w:r>
    </w:p>
    <w:p>
      <w:pPr>
        <w:spacing w:line="360" w:lineRule="auto"/>
        <w:ind w:firstLine="495"/>
        <w:rPr>
          <w:szCs w:val="21"/>
        </w:rPr>
      </w:pPr>
    </w:p>
    <w:p>
      <w:pPr>
        <w:spacing w:line="360" w:lineRule="auto"/>
        <w:ind w:firstLine="495"/>
        <w:rPr>
          <w:szCs w:val="21"/>
          <w:u w:val="single"/>
        </w:rPr>
      </w:pPr>
      <w:r>
        <w:rPr>
          <w:rFonts w:hint="eastAsia"/>
          <w:szCs w:val="21"/>
        </w:rPr>
        <w:t>邮政编码：</w:t>
      </w:r>
      <w:bookmarkStart w:id="79" w:name="S_8_013"/>
      <w:r>
        <w:rPr>
          <w:rFonts w:hint="eastAsia"/>
          <w:szCs w:val="21"/>
          <w:u w:val="single"/>
        </w:rPr>
        <w:t xml:space="preserve">                </w:t>
      </w:r>
      <w:bookmarkEnd w:id="79"/>
      <w:r>
        <w:rPr>
          <w:rFonts w:hint="eastAsia"/>
          <w:szCs w:val="21"/>
        </w:rPr>
        <w:t>电话：</w:t>
      </w:r>
      <w:bookmarkStart w:id="80" w:name="S_8_014"/>
      <w:r>
        <w:rPr>
          <w:rFonts w:hint="eastAsia"/>
          <w:szCs w:val="21"/>
          <w:u w:val="single"/>
        </w:rPr>
        <w:t xml:space="preserve">              </w:t>
      </w:r>
      <w:bookmarkEnd w:id="80"/>
      <w:r>
        <w:rPr>
          <w:rFonts w:hint="eastAsia"/>
          <w:szCs w:val="21"/>
        </w:rPr>
        <w:t>传真：</w:t>
      </w:r>
      <w:bookmarkStart w:id="81" w:name="S_8_015"/>
      <w:r>
        <w:rPr>
          <w:rFonts w:hint="eastAsia"/>
          <w:szCs w:val="21"/>
          <w:u w:val="single"/>
        </w:rPr>
        <w:t xml:space="preserve">             </w:t>
      </w:r>
      <w:bookmarkEnd w:id="81"/>
    </w:p>
    <w:p>
      <w:pPr>
        <w:spacing w:line="360" w:lineRule="auto"/>
        <w:ind w:firstLine="495"/>
        <w:rPr>
          <w:szCs w:val="21"/>
        </w:rPr>
      </w:pPr>
    </w:p>
    <w:p>
      <w:pPr>
        <w:spacing w:line="360" w:lineRule="auto"/>
        <w:ind w:firstLine="495"/>
        <w:rPr>
          <w:szCs w:val="21"/>
          <w:u w:val="single"/>
        </w:rPr>
      </w:pPr>
      <w:r>
        <w:rPr>
          <w:rFonts w:hint="eastAsia"/>
          <w:szCs w:val="21"/>
        </w:rPr>
        <w:t>开户银行名称：</w:t>
      </w:r>
      <w:bookmarkStart w:id="82" w:name="S_8_016"/>
      <w:r>
        <w:rPr>
          <w:rFonts w:hint="eastAsia"/>
          <w:szCs w:val="21"/>
          <w:u w:val="single"/>
        </w:rPr>
        <w:t xml:space="preserve">                                    </w:t>
      </w:r>
      <w:bookmarkEnd w:id="82"/>
    </w:p>
    <w:p>
      <w:pPr>
        <w:spacing w:line="360" w:lineRule="auto"/>
        <w:ind w:firstLine="495"/>
        <w:rPr>
          <w:szCs w:val="21"/>
        </w:rPr>
      </w:pPr>
    </w:p>
    <w:p>
      <w:pPr>
        <w:spacing w:line="360" w:lineRule="auto"/>
        <w:ind w:firstLine="495"/>
        <w:rPr>
          <w:szCs w:val="21"/>
          <w:u w:val="single"/>
        </w:rPr>
      </w:pPr>
      <w:r>
        <w:rPr>
          <w:rFonts w:hint="eastAsia"/>
          <w:szCs w:val="21"/>
        </w:rPr>
        <w:t>开户银行账号：</w:t>
      </w:r>
      <w:bookmarkStart w:id="83" w:name="S_8_017"/>
      <w:r>
        <w:rPr>
          <w:rFonts w:hint="eastAsia"/>
          <w:szCs w:val="21"/>
          <w:u w:val="single"/>
        </w:rPr>
        <w:t xml:space="preserve">                                    </w:t>
      </w:r>
      <w:bookmarkEnd w:id="83"/>
    </w:p>
    <w:p>
      <w:pPr>
        <w:spacing w:line="360" w:lineRule="auto"/>
        <w:ind w:firstLine="495"/>
        <w:rPr>
          <w:szCs w:val="21"/>
        </w:rPr>
      </w:pPr>
    </w:p>
    <w:p>
      <w:pPr>
        <w:spacing w:line="360" w:lineRule="auto"/>
        <w:ind w:firstLine="495"/>
        <w:rPr>
          <w:b/>
          <w:szCs w:val="21"/>
          <w:u w:val="single"/>
        </w:rPr>
      </w:pPr>
      <w:r>
        <w:rPr>
          <w:rFonts w:hint="eastAsia"/>
          <w:szCs w:val="21"/>
        </w:rPr>
        <w:t>开户银行地址：</w:t>
      </w:r>
      <w:bookmarkStart w:id="84" w:name="S_8_018"/>
      <w:r>
        <w:rPr>
          <w:rFonts w:hint="eastAsia"/>
          <w:szCs w:val="21"/>
          <w:u w:val="single"/>
        </w:rPr>
        <w:t xml:space="preserve">                                    </w:t>
      </w:r>
      <w:bookmarkEnd w:id="84"/>
    </w:p>
    <w:p>
      <w:pPr>
        <w:spacing w:line="360" w:lineRule="auto"/>
        <w:ind w:firstLine="495"/>
        <w:rPr>
          <w:b/>
          <w:szCs w:val="21"/>
        </w:rPr>
      </w:pPr>
    </w:p>
    <w:p>
      <w:pPr>
        <w:spacing w:line="360" w:lineRule="auto"/>
        <w:ind w:firstLine="495"/>
        <w:rPr>
          <w:szCs w:val="21"/>
          <w:u w:val="single"/>
        </w:rPr>
      </w:pPr>
      <w:r>
        <w:rPr>
          <w:rFonts w:hint="eastAsia"/>
          <w:szCs w:val="21"/>
        </w:rPr>
        <w:t>开户银行电话：</w:t>
      </w:r>
      <w:bookmarkStart w:id="85" w:name="S_8_019"/>
      <w:r>
        <w:rPr>
          <w:rFonts w:hint="eastAsia"/>
          <w:szCs w:val="21"/>
          <w:u w:val="single"/>
        </w:rPr>
        <w:t xml:space="preserve">                                    </w:t>
      </w:r>
      <w:bookmarkEnd w:id="85"/>
    </w:p>
    <w:p>
      <w:pPr>
        <w:spacing w:line="360" w:lineRule="auto"/>
        <w:rPr>
          <w:szCs w:val="21"/>
          <w:u w:val="single"/>
        </w:rPr>
      </w:pPr>
    </w:p>
    <w:p>
      <w:pPr>
        <w:wordWrap w:val="0"/>
        <w:spacing w:line="360" w:lineRule="auto"/>
        <w:jc w:val="right"/>
        <w:rPr>
          <w:szCs w:val="21"/>
        </w:rPr>
      </w:pPr>
      <w:bookmarkStart w:id="86" w:name="S_8_020"/>
      <w:r>
        <w:rPr>
          <w:rFonts w:hint="eastAsia"/>
          <w:szCs w:val="21"/>
          <w:u w:val="single"/>
        </w:rPr>
        <w:t xml:space="preserve">         </w:t>
      </w:r>
      <w:bookmarkEnd w:id="86"/>
      <w:r>
        <w:rPr>
          <w:rFonts w:hint="eastAsia"/>
          <w:szCs w:val="21"/>
        </w:rPr>
        <w:t>年</w:t>
      </w:r>
      <w:bookmarkStart w:id="87" w:name="S_8_021"/>
      <w:r>
        <w:rPr>
          <w:rFonts w:hint="eastAsia"/>
          <w:szCs w:val="21"/>
          <w:u w:val="single"/>
        </w:rPr>
        <w:t xml:space="preserve">       </w:t>
      </w:r>
      <w:bookmarkEnd w:id="87"/>
      <w:r>
        <w:rPr>
          <w:rFonts w:hint="eastAsia"/>
          <w:szCs w:val="21"/>
        </w:rPr>
        <w:t>月</w:t>
      </w:r>
      <w:bookmarkStart w:id="88" w:name="S_8_022"/>
      <w:r>
        <w:rPr>
          <w:rFonts w:hint="eastAsia"/>
          <w:szCs w:val="21"/>
          <w:u w:val="single"/>
        </w:rPr>
        <w:t xml:space="preserve">        </w:t>
      </w:r>
      <w:bookmarkEnd w:id="88"/>
      <w:r>
        <w:rPr>
          <w:rFonts w:hint="eastAsia"/>
          <w:szCs w:val="21"/>
        </w:rPr>
        <w:t>日</w:t>
      </w:r>
    </w:p>
    <w:p>
      <w:pPr>
        <w:spacing w:line="400" w:lineRule="exact"/>
        <w:ind w:left="4200" w:leftChars="2000" w:firstLine="1785" w:firstLineChars="850"/>
        <w:rPr>
          <w:sz w:val="24"/>
        </w:rPr>
      </w:pPr>
      <w:r>
        <w:br w:type="page"/>
      </w:r>
      <w:bookmarkEnd w:id="74"/>
    </w:p>
    <w:p>
      <w:pPr>
        <w:pStyle w:val="3"/>
        <w:numPr>
          <w:ilvl w:val="1"/>
          <w:numId w:val="0"/>
        </w:numPr>
        <w:spacing w:line="600" w:lineRule="exact"/>
        <w:jc w:val="center"/>
        <w:rPr>
          <w:rFonts w:ascii="宋体" w:hAnsi="宋体" w:eastAsia="宋体"/>
          <w:w w:val="100"/>
          <w:kern w:val="32"/>
        </w:rPr>
      </w:pPr>
      <w:bookmarkStart w:id="89" w:name="_Toc321052836"/>
      <w:bookmarkStart w:id="90" w:name="_Toc318840512"/>
      <w:r>
        <w:rPr>
          <w:rFonts w:hint="eastAsia" w:ascii="宋体" w:hAnsi="宋体" w:eastAsia="宋体"/>
          <w:w w:val="100"/>
          <w:kern w:val="32"/>
        </w:rPr>
        <w:t>二、法定代表人身份证明和授权委托书</w:t>
      </w:r>
      <w:bookmarkEnd w:id="89"/>
    </w:p>
    <w:p>
      <w:pPr>
        <w:tabs>
          <w:tab w:val="left" w:pos="7920"/>
        </w:tabs>
        <w:spacing w:line="360" w:lineRule="auto"/>
        <w:rPr>
          <w:color w:val="000000"/>
          <w:sz w:val="24"/>
        </w:rPr>
      </w:pPr>
    </w:p>
    <w:p>
      <w:pPr>
        <w:spacing w:line="480" w:lineRule="auto"/>
        <w:rPr>
          <w:sz w:val="24"/>
          <w:u w:val="single"/>
        </w:rPr>
      </w:pPr>
      <w:r>
        <w:rPr>
          <w:sz w:val="24"/>
        </w:rPr>
        <w:t>投标人名称：</w:t>
      </w:r>
      <w:r>
        <w:rPr>
          <w:sz w:val="24"/>
          <w:u w:val="single"/>
        </w:rPr>
        <w:t xml:space="preserve">                             </w:t>
      </w:r>
    </w:p>
    <w:p>
      <w:pPr>
        <w:spacing w:line="480" w:lineRule="auto"/>
        <w:rPr>
          <w:sz w:val="24"/>
        </w:rPr>
      </w:pPr>
      <w:r>
        <w:rPr>
          <w:sz w:val="24"/>
        </w:rPr>
        <w:t>单位性质：</w:t>
      </w:r>
      <w:r>
        <w:rPr>
          <w:sz w:val="24"/>
          <w:u w:val="single"/>
        </w:rPr>
        <w:t xml:space="preserve">                               </w:t>
      </w:r>
    </w:p>
    <w:p>
      <w:pPr>
        <w:spacing w:line="480" w:lineRule="auto"/>
        <w:rPr>
          <w:sz w:val="24"/>
        </w:rPr>
      </w:pPr>
      <w:r>
        <w:rPr>
          <w:sz w:val="24"/>
        </w:rPr>
        <w:t>地址：</w:t>
      </w:r>
      <w:r>
        <w:rPr>
          <w:sz w:val="24"/>
          <w:u w:val="single"/>
        </w:rPr>
        <w:t xml:space="preserve">                                   </w:t>
      </w:r>
    </w:p>
    <w:p>
      <w:pPr>
        <w:spacing w:line="480" w:lineRule="auto"/>
        <w:rPr>
          <w:sz w:val="24"/>
        </w:rPr>
      </w:pPr>
      <w:r>
        <w:rPr>
          <w:sz w:val="24"/>
        </w:rPr>
        <w:t>成立时间：</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80" w:lineRule="auto"/>
        <w:rPr>
          <w:sz w:val="24"/>
        </w:rPr>
      </w:pPr>
      <w:r>
        <w:rPr>
          <w:sz w:val="24"/>
        </w:rPr>
        <w:t>经营期限：</w:t>
      </w:r>
      <w:r>
        <w:rPr>
          <w:sz w:val="24"/>
          <w:u w:val="single"/>
        </w:rPr>
        <w:t xml:space="preserve">                               </w:t>
      </w:r>
    </w:p>
    <w:p>
      <w:pPr>
        <w:spacing w:line="480" w:lineRule="auto"/>
        <w:rPr>
          <w:sz w:val="24"/>
        </w:rPr>
      </w:pPr>
      <w:r>
        <w:rPr>
          <w:sz w:val="24"/>
        </w:rPr>
        <w:t>姓名：</w:t>
      </w:r>
      <w:r>
        <w:rPr>
          <w:sz w:val="24"/>
          <w:u w:val="single"/>
        </w:rPr>
        <w:t xml:space="preserve">           </w:t>
      </w:r>
      <w:r>
        <w:rPr>
          <w:sz w:val="24"/>
        </w:rPr>
        <w:t>性别：</w:t>
      </w:r>
      <w:r>
        <w:rPr>
          <w:sz w:val="24"/>
          <w:u w:val="single"/>
        </w:rPr>
        <w:t xml:space="preserve">           </w:t>
      </w:r>
      <w:r>
        <w:rPr>
          <w:sz w:val="24"/>
        </w:rPr>
        <w:t>年龄：</w:t>
      </w:r>
      <w:r>
        <w:rPr>
          <w:sz w:val="24"/>
          <w:u w:val="single"/>
        </w:rPr>
        <w:t xml:space="preserve">           </w:t>
      </w:r>
      <w:r>
        <w:rPr>
          <w:sz w:val="24"/>
        </w:rPr>
        <w:t>职务：</w:t>
      </w:r>
      <w:r>
        <w:rPr>
          <w:sz w:val="24"/>
          <w:u w:val="single"/>
        </w:rPr>
        <w:t xml:space="preserve">           </w:t>
      </w:r>
    </w:p>
    <w:p>
      <w:pPr>
        <w:spacing w:line="480" w:lineRule="auto"/>
        <w:rPr>
          <w:sz w:val="24"/>
        </w:rPr>
      </w:pPr>
      <w:r>
        <w:rPr>
          <w:sz w:val="24"/>
        </w:rPr>
        <w:t>系</w:t>
      </w:r>
      <w:r>
        <w:rPr>
          <w:sz w:val="24"/>
          <w:u w:val="single"/>
        </w:rPr>
        <w:t xml:space="preserve">              </w:t>
      </w:r>
      <w:r>
        <w:rPr>
          <w:sz w:val="24"/>
        </w:rPr>
        <w:t>（投标人名称）的法定代表人。</w:t>
      </w:r>
    </w:p>
    <w:p>
      <w:pPr>
        <w:spacing w:line="480" w:lineRule="auto"/>
        <w:ind w:firstLine="480" w:firstLineChars="200"/>
        <w:rPr>
          <w:sz w:val="24"/>
        </w:rPr>
      </w:pPr>
    </w:p>
    <w:p>
      <w:pPr>
        <w:spacing w:line="480" w:lineRule="auto"/>
        <w:ind w:firstLine="480" w:firstLineChars="200"/>
        <w:rPr>
          <w:sz w:val="24"/>
        </w:rPr>
      </w:pPr>
      <w:r>
        <w:rPr>
          <w:sz w:val="24"/>
        </w:rPr>
        <w:t>特此证明。</w:t>
      </w:r>
    </w:p>
    <w:p>
      <w:pPr>
        <w:spacing w:line="360" w:lineRule="auto"/>
        <w:rPr>
          <w:sz w:val="24"/>
        </w:rPr>
      </w:pPr>
    </w:p>
    <w:p>
      <w:pPr>
        <w:spacing w:line="360" w:lineRule="auto"/>
        <w:rPr>
          <w:sz w:val="24"/>
        </w:rPr>
      </w:pPr>
    </w:p>
    <w:p>
      <w:pPr>
        <w:spacing w:line="360" w:lineRule="auto"/>
        <w:jc w:val="right"/>
        <w:rPr>
          <w:sz w:val="24"/>
        </w:rPr>
      </w:pPr>
      <w:r>
        <w:rPr>
          <w:sz w:val="24"/>
        </w:rPr>
        <w:t>投标人：</w:t>
      </w:r>
      <w:r>
        <w:rPr>
          <w:sz w:val="24"/>
          <w:u w:val="single"/>
        </w:rPr>
        <w:t xml:space="preserve">     （全称）      </w:t>
      </w:r>
      <w:r>
        <w:rPr>
          <w:sz w:val="24"/>
        </w:rPr>
        <w:t>（盖单位公章）</w:t>
      </w:r>
    </w:p>
    <w:p>
      <w:pPr>
        <w:wordWrap w:val="0"/>
        <w:spacing w:line="360" w:lineRule="auto"/>
        <w:jc w:val="right"/>
        <w:rPr>
          <w:sz w:val="24"/>
          <w:u w:val="single"/>
        </w:rPr>
      </w:pPr>
    </w:p>
    <w:p>
      <w:pPr>
        <w:spacing w:line="360" w:lineRule="auto"/>
        <w:jc w:val="right"/>
        <w:rPr>
          <w:sz w:val="24"/>
        </w:rPr>
      </w:pP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40" w:lineRule="exact"/>
        <w:rPr>
          <w:sz w:val="24"/>
        </w:rPr>
      </w:pPr>
      <w:r>
        <w:rPr>
          <w:rFonts w:hint="eastAsia"/>
          <w:b/>
          <w:sz w:val="24"/>
        </w:rPr>
        <w:t>附：法定代表人身份证复印件（此附件为法定代表人身份证明的必要组成部分，无此附件的法定代表人身份证明无效）</w:t>
      </w:r>
    </w:p>
    <w:p>
      <w:pPr>
        <w:spacing w:line="360" w:lineRule="auto"/>
        <w:jc w:val="right"/>
      </w:pPr>
    </w:p>
    <w:p>
      <w:pPr>
        <w:tabs>
          <w:tab w:val="left" w:pos="7920"/>
        </w:tabs>
        <w:spacing w:line="360" w:lineRule="auto"/>
        <w:ind w:right="420"/>
        <w:rPr>
          <w:b/>
        </w:rPr>
      </w:pPr>
    </w:p>
    <w:p>
      <w:pPr>
        <w:tabs>
          <w:tab w:val="left" w:pos="7920"/>
        </w:tabs>
        <w:spacing w:line="360" w:lineRule="auto"/>
        <w:ind w:right="420"/>
        <w:rPr>
          <w:b/>
        </w:rPr>
      </w:pPr>
    </w:p>
    <w:p>
      <w:pPr>
        <w:tabs>
          <w:tab w:val="left" w:pos="7920"/>
        </w:tabs>
        <w:spacing w:line="360" w:lineRule="auto"/>
        <w:ind w:right="420"/>
        <w:rPr>
          <w:b/>
          <w:color w:val="000000"/>
          <w:sz w:val="24"/>
        </w:rPr>
      </w:pPr>
      <w:r>
        <w:rPr>
          <w:rFonts w:hint="eastAsia"/>
          <w:b/>
        </w:rPr>
        <w:t>注：如由法定代表人亲自到场，则“法定代表人身份证明”需由法定代表人另外单独携带一份原件至开标现场；如授权委托代理人到场则“法定代表人身份证明”不须提供。</w:t>
      </w:r>
    </w:p>
    <w:p>
      <w:pPr>
        <w:tabs>
          <w:tab w:val="left" w:pos="7920"/>
        </w:tabs>
        <w:spacing w:line="360" w:lineRule="auto"/>
        <w:ind w:firstLine="570"/>
        <w:jc w:val="right"/>
        <w:rPr>
          <w:color w:val="000000"/>
          <w:sz w:val="24"/>
        </w:rPr>
      </w:pPr>
    </w:p>
    <w:p>
      <w:pPr>
        <w:rPr>
          <w:color w:val="000000"/>
          <w:sz w:val="24"/>
        </w:rPr>
      </w:pPr>
    </w:p>
    <w:p>
      <w:pPr>
        <w:rPr>
          <w:color w:val="000000"/>
          <w:sz w:val="24"/>
        </w:rPr>
      </w:pPr>
    </w:p>
    <w:p>
      <w:pPr>
        <w:rPr>
          <w:sz w:val="24"/>
          <w:szCs w:val="44"/>
        </w:rPr>
      </w:pPr>
    </w:p>
    <w:p>
      <w:pPr>
        <w:rPr>
          <w:sz w:val="24"/>
          <w:szCs w:val="44"/>
        </w:rPr>
      </w:pPr>
    </w:p>
    <w:p>
      <w:pPr>
        <w:pStyle w:val="3"/>
        <w:numPr>
          <w:ilvl w:val="1"/>
          <w:numId w:val="0"/>
        </w:numPr>
        <w:spacing w:line="600" w:lineRule="exact"/>
        <w:jc w:val="center"/>
        <w:rPr>
          <w:rFonts w:ascii="宋体" w:hAnsi="宋体" w:eastAsia="宋体"/>
          <w:w w:val="100"/>
          <w:kern w:val="32"/>
        </w:rPr>
      </w:pPr>
      <w:r>
        <w:rPr>
          <w:rFonts w:hint="eastAsia" w:ascii="宋体" w:hAnsi="宋体" w:eastAsia="宋体"/>
          <w:w w:val="100"/>
          <w:kern w:val="32"/>
        </w:rPr>
        <w:t>授权委托书</w:t>
      </w:r>
    </w:p>
    <w:p>
      <w:pPr>
        <w:spacing w:line="400" w:lineRule="exact"/>
        <w:ind w:left="480"/>
        <w:rPr>
          <w:sz w:val="24"/>
        </w:rPr>
      </w:pPr>
    </w:p>
    <w:p>
      <w:pPr>
        <w:spacing w:line="400" w:lineRule="exact"/>
        <w:ind w:left="480"/>
        <w:rPr>
          <w:sz w:val="24"/>
        </w:rPr>
      </w:pPr>
    </w:p>
    <w:p>
      <w:pPr>
        <w:spacing w:line="480" w:lineRule="auto"/>
        <w:ind w:firstLine="480" w:firstLineChars="200"/>
        <w:rPr>
          <w:sz w:val="24"/>
        </w:rPr>
      </w:pPr>
      <w:r>
        <w:rPr>
          <w:sz w:val="24"/>
        </w:rPr>
        <w:t>本人</w:t>
      </w:r>
      <w:r>
        <w:rPr>
          <w:sz w:val="24"/>
          <w:u w:val="single"/>
        </w:rPr>
        <w:t xml:space="preserve">        </w:t>
      </w:r>
      <w:r>
        <w:rPr>
          <w:sz w:val="24"/>
        </w:rPr>
        <w:t>（姓名）系</w:t>
      </w:r>
      <w:r>
        <w:rPr>
          <w:sz w:val="24"/>
          <w:u w:val="single"/>
        </w:rPr>
        <w:t xml:space="preserve">      </w:t>
      </w:r>
      <w:r>
        <w:rPr>
          <w:sz w:val="24"/>
        </w:rPr>
        <w:t>（投标人名称）的法定代表人，现委托</w:t>
      </w:r>
      <w:r>
        <w:rPr>
          <w:sz w:val="24"/>
          <w:u w:val="single"/>
        </w:rPr>
        <w:t xml:space="preserve">      </w:t>
      </w:r>
      <w:r>
        <w:rPr>
          <w:sz w:val="24"/>
        </w:rPr>
        <w:t>（姓名）为我方代理人。代理人根据授权，以我方名义签署、澄清、说明、补正、递交、撤回、修改</w:t>
      </w:r>
      <w:r>
        <w:rPr>
          <w:sz w:val="24"/>
          <w:u w:val="single"/>
        </w:rPr>
        <w:t xml:space="preserve">                            </w:t>
      </w:r>
      <w:r>
        <w:rPr>
          <w:sz w:val="24"/>
        </w:rPr>
        <w:t>投标文件、签订合同和处理有关事宜，其法律后果由我方承担。</w:t>
      </w:r>
    </w:p>
    <w:p>
      <w:pPr>
        <w:spacing w:line="480" w:lineRule="auto"/>
        <w:ind w:firstLine="480" w:firstLineChars="200"/>
        <w:rPr>
          <w:sz w:val="24"/>
        </w:rPr>
      </w:pPr>
      <w:r>
        <w:rPr>
          <w:sz w:val="24"/>
        </w:rPr>
        <w:t>委托期限：</w:t>
      </w:r>
      <w:r>
        <w:rPr>
          <w:sz w:val="24"/>
          <w:u w:val="single"/>
        </w:rPr>
        <w:t xml:space="preserve">               </w:t>
      </w:r>
      <w:r>
        <w:rPr>
          <w:sz w:val="24"/>
        </w:rPr>
        <w:t>。</w:t>
      </w:r>
    </w:p>
    <w:p>
      <w:pPr>
        <w:spacing w:line="480" w:lineRule="auto"/>
        <w:ind w:firstLine="480" w:firstLineChars="200"/>
        <w:rPr>
          <w:sz w:val="24"/>
        </w:rPr>
      </w:pPr>
      <w:r>
        <w:rPr>
          <w:sz w:val="24"/>
        </w:rPr>
        <w:t>代理人无转委托权。</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480" w:lineRule="auto"/>
        <w:ind w:firstLine="2966" w:firstLineChars="1236"/>
        <w:rPr>
          <w:sz w:val="24"/>
        </w:rPr>
      </w:pPr>
      <w:r>
        <w:rPr>
          <w:sz w:val="24"/>
        </w:rPr>
        <w:t>投  标  人：</w:t>
      </w:r>
      <w:r>
        <w:rPr>
          <w:sz w:val="24"/>
          <w:u w:val="single"/>
        </w:rPr>
        <w:t xml:space="preserve">         （全称）       </w:t>
      </w:r>
      <w:r>
        <w:rPr>
          <w:sz w:val="24"/>
        </w:rPr>
        <w:t>（盖单位公章）</w:t>
      </w:r>
    </w:p>
    <w:p>
      <w:pPr>
        <w:spacing w:line="480" w:lineRule="auto"/>
        <w:ind w:firstLine="2966" w:firstLineChars="1236"/>
        <w:rPr>
          <w:sz w:val="24"/>
        </w:rPr>
      </w:pPr>
      <w:r>
        <w:rPr>
          <w:sz w:val="24"/>
        </w:rPr>
        <w:t>法定代表人：</w:t>
      </w:r>
      <w:r>
        <w:rPr>
          <w:sz w:val="24"/>
          <w:u w:val="single"/>
        </w:rPr>
        <w:t xml:space="preserve">                         </w:t>
      </w:r>
      <w:r>
        <w:rPr>
          <w:sz w:val="24"/>
        </w:rPr>
        <w:t>（签字）</w:t>
      </w:r>
    </w:p>
    <w:p>
      <w:pPr>
        <w:spacing w:line="480" w:lineRule="auto"/>
        <w:ind w:firstLine="2966" w:firstLineChars="1236"/>
        <w:rPr>
          <w:sz w:val="24"/>
        </w:rPr>
      </w:pPr>
      <w:r>
        <w:rPr>
          <w:sz w:val="24"/>
        </w:rPr>
        <w:t>身份证号码：</w:t>
      </w:r>
      <w:r>
        <w:rPr>
          <w:sz w:val="24"/>
          <w:u w:val="single"/>
        </w:rPr>
        <w:t xml:space="preserve">                                      </w:t>
      </w:r>
    </w:p>
    <w:p>
      <w:pPr>
        <w:spacing w:line="480" w:lineRule="auto"/>
        <w:ind w:firstLine="2966" w:firstLineChars="1236"/>
        <w:rPr>
          <w:sz w:val="24"/>
        </w:rPr>
      </w:pPr>
      <w:r>
        <w:rPr>
          <w:sz w:val="24"/>
        </w:rPr>
        <w:t>委托代理人：</w:t>
      </w:r>
      <w:r>
        <w:rPr>
          <w:sz w:val="24"/>
          <w:u w:val="single"/>
        </w:rPr>
        <w:t xml:space="preserve">                          </w:t>
      </w:r>
      <w:r>
        <w:rPr>
          <w:sz w:val="24"/>
        </w:rPr>
        <w:t>（签字）</w:t>
      </w:r>
    </w:p>
    <w:p>
      <w:pPr>
        <w:spacing w:line="480" w:lineRule="auto"/>
        <w:ind w:firstLine="2966" w:firstLineChars="1236"/>
        <w:rPr>
          <w:sz w:val="24"/>
          <w:u w:val="single"/>
        </w:rPr>
      </w:pPr>
      <w:r>
        <w:rPr>
          <w:sz w:val="24"/>
        </w:rPr>
        <w:t>身份证号码：</w:t>
      </w:r>
      <w:r>
        <w:rPr>
          <w:sz w:val="24"/>
          <w:u w:val="single"/>
        </w:rPr>
        <w:t xml:space="preserve">                                      </w:t>
      </w:r>
    </w:p>
    <w:p>
      <w:pPr>
        <w:spacing w:line="480" w:lineRule="auto"/>
        <w:ind w:firstLine="480" w:firstLineChars="200"/>
        <w:jc w:val="right"/>
        <w:rPr>
          <w:sz w:val="24"/>
        </w:rPr>
      </w:pP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40" w:lineRule="exact"/>
        <w:ind w:firstLine="241" w:firstLineChars="100"/>
        <w:rPr>
          <w:b/>
          <w:sz w:val="24"/>
        </w:rPr>
      </w:pPr>
    </w:p>
    <w:p>
      <w:pPr>
        <w:spacing w:line="440" w:lineRule="exact"/>
        <w:ind w:firstLine="241" w:firstLineChars="100"/>
        <w:rPr>
          <w:sz w:val="24"/>
        </w:rPr>
      </w:pPr>
      <w:r>
        <w:rPr>
          <w:rFonts w:hint="eastAsia"/>
          <w:b/>
          <w:sz w:val="24"/>
        </w:rPr>
        <w:t>附：法定代表人及授权委托人身份证复印件（此附件为授权委托书的必要组成部分，无此附件的授权委托书无效）</w:t>
      </w:r>
    </w:p>
    <w:p>
      <w:pPr>
        <w:spacing w:line="480" w:lineRule="auto"/>
        <w:ind w:firstLine="420" w:firstLineChars="200"/>
        <w:jc w:val="right"/>
      </w:pPr>
    </w:p>
    <w:p>
      <w:pPr>
        <w:spacing w:line="360" w:lineRule="auto"/>
        <w:ind w:firstLine="420" w:firstLineChars="200"/>
      </w:pPr>
    </w:p>
    <w:p>
      <w:pPr>
        <w:spacing w:line="360" w:lineRule="auto"/>
        <w:rPr>
          <w:b/>
          <w:bCs/>
          <w:szCs w:val="21"/>
        </w:rPr>
      </w:pPr>
      <w:r>
        <w:rPr>
          <w:rFonts w:hint="eastAsia"/>
        </w:rPr>
        <w:t xml:space="preserve">注：如为授权委托代理人到场，则“授权委托书”需由授权委托代理人另外单独携带一份原件至开标现场，如法定代表人到场则“授权委托书”不须提供。    </w:t>
      </w:r>
    </w:p>
    <w:p>
      <w:pPr>
        <w:pStyle w:val="3"/>
        <w:numPr>
          <w:ilvl w:val="1"/>
          <w:numId w:val="0"/>
        </w:numPr>
        <w:spacing w:line="600" w:lineRule="exact"/>
        <w:jc w:val="center"/>
        <w:rPr>
          <w:rFonts w:ascii="宋体" w:hAnsi="宋体" w:eastAsia="宋体"/>
          <w:w w:val="100"/>
          <w:kern w:val="32"/>
        </w:rPr>
      </w:pPr>
      <w:bookmarkStart w:id="91" w:name="_Toc321052837"/>
      <w:r>
        <w:rPr>
          <w:rFonts w:hint="eastAsia" w:ascii="宋体" w:hAnsi="宋体" w:eastAsia="宋体"/>
          <w:w w:val="100"/>
          <w:kern w:val="32"/>
        </w:rPr>
        <w:t>三、投标人基本情况说明</w:t>
      </w:r>
      <w:bookmarkEnd w:id="90"/>
      <w:bookmarkEnd w:id="91"/>
    </w:p>
    <w:p>
      <w:pPr>
        <w:spacing w:line="360" w:lineRule="auto"/>
        <w:rPr>
          <w:sz w:val="24"/>
        </w:rPr>
      </w:pPr>
      <w:r>
        <w:rPr>
          <w:rFonts w:hint="eastAsia"/>
          <w:sz w:val="24"/>
        </w:rPr>
        <w:t>（一）名称及有关情况：</w:t>
      </w:r>
    </w:p>
    <w:p>
      <w:pPr>
        <w:spacing w:line="360" w:lineRule="auto"/>
        <w:ind w:firstLine="240" w:firstLineChars="100"/>
        <w:rPr>
          <w:sz w:val="24"/>
        </w:rPr>
      </w:pPr>
      <w:r>
        <w:rPr>
          <w:rFonts w:hint="eastAsia"/>
          <w:sz w:val="24"/>
        </w:rPr>
        <w:t>（1）名称：</w:t>
      </w:r>
    </w:p>
    <w:p>
      <w:pPr>
        <w:spacing w:line="360" w:lineRule="auto"/>
        <w:ind w:firstLine="240" w:firstLineChars="100"/>
        <w:rPr>
          <w:sz w:val="24"/>
        </w:rPr>
      </w:pPr>
      <w:r>
        <w:rPr>
          <w:rFonts w:hint="eastAsia"/>
          <w:sz w:val="24"/>
        </w:rPr>
        <w:t>（2）地址：　　　　　　　　　传真/电话：　　　　　邮编：</w:t>
      </w:r>
    </w:p>
    <w:p>
      <w:pPr>
        <w:spacing w:line="360" w:lineRule="auto"/>
        <w:ind w:firstLine="240" w:firstLineChars="100"/>
        <w:rPr>
          <w:sz w:val="24"/>
        </w:rPr>
      </w:pPr>
      <w:r>
        <w:rPr>
          <w:rFonts w:hint="eastAsia"/>
          <w:sz w:val="24"/>
        </w:rPr>
        <w:t>（3）成立或注册日期：</w:t>
      </w:r>
    </w:p>
    <w:p>
      <w:pPr>
        <w:spacing w:line="360" w:lineRule="auto"/>
        <w:ind w:firstLine="240" w:firstLineChars="100"/>
        <w:rPr>
          <w:sz w:val="24"/>
        </w:rPr>
      </w:pPr>
      <w:r>
        <w:rPr>
          <w:rFonts w:hint="eastAsia"/>
          <w:sz w:val="24"/>
        </w:rPr>
        <w:t>（4）法人代表姓名：</w:t>
      </w:r>
    </w:p>
    <w:p>
      <w:pPr>
        <w:spacing w:line="360" w:lineRule="auto"/>
        <w:ind w:firstLine="240" w:firstLineChars="100"/>
        <w:rPr>
          <w:sz w:val="24"/>
        </w:rPr>
      </w:pPr>
      <w:r>
        <w:rPr>
          <w:rFonts w:hint="eastAsia"/>
          <w:sz w:val="24"/>
        </w:rPr>
        <w:t>（5）开户银行名称及地址：</w:t>
      </w:r>
    </w:p>
    <w:p>
      <w:pPr>
        <w:spacing w:line="360" w:lineRule="auto"/>
        <w:ind w:firstLine="240" w:firstLineChars="100"/>
        <w:rPr>
          <w:sz w:val="24"/>
        </w:rPr>
      </w:pPr>
      <w:r>
        <w:rPr>
          <w:rFonts w:hint="eastAsia"/>
          <w:sz w:val="24"/>
        </w:rPr>
        <w:t>（6）投标人在湖南地区的代表姓名和地址邮编、传真、电话</w:t>
      </w:r>
    </w:p>
    <w:p>
      <w:pPr>
        <w:spacing w:line="360" w:lineRule="auto"/>
        <w:rPr>
          <w:sz w:val="24"/>
        </w:rPr>
      </w:pPr>
      <w:r>
        <w:rPr>
          <w:rFonts w:hint="eastAsia"/>
          <w:sz w:val="24"/>
        </w:rPr>
        <w:t>（二）投标人简介：主要包括以下内容</w:t>
      </w:r>
    </w:p>
    <w:p>
      <w:pPr>
        <w:spacing w:line="360" w:lineRule="auto"/>
        <w:ind w:firstLine="240" w:firstLineChars="100"/>
        <w:rPr>
          <w:sz w:val="24"/>
        </w:rPr>
      </w:pPr>
      <w:r>
        <w:rPr>
          <w:rFonts w:hint="eastAsia"/>
          <w:sz w:val="24"/>
        </w:rPr>
        <w:t>（1）企业发展简史</w:t>
      </w:r>
    </w:p>
    <w:p>
      <w:pPr>
        <w:spacing w:line="360" w:lineRule="auto"/>
        <w:ind w:firstLine="240" w:firstLineChars="100"/>
        <w:rPr>
          <w:sz w:val="24"/>
        </w:rPr>
      </w:pPr>
      <w:r>
        <w:rPr>
          <w:rFonts w:hint="eastAsia"/>
          <w:sz w:val="24"/>
        </w:rPr>
        <w:t>（2）企业生产经营场所、拥有的生产经营设备，及现有技术人员等</w:t>
      </w:r>
    </w:p>
    <w:p>
      <w:pPr>
        <w:spacing w:line="360" w:lineRule="auto"/>
        <w:ind w:firstLine="240" w:firstLineChars="100"/>
        <w:rPr>
          <w:sz w:val="24"/>
        </w:rPr>
      </w:pPr>
      <w:r>
        <w:rPr>
          <w:rFonts w:hint="eastAsia"/>
          <w:sz w:val="24"/>
        </w:rPr>
        <w:t>（3）企业生产经营情况、财务现状等</w:t>
      </w:r>
    </w:p>
    <w:p>
      <w:pPr>
        <w:spacing w:line="360" w:lineRule="auto"/>
        <w:ind w:firstLine="240" w:firstLineChars="100"/>
        <w:rPr>
          <w:sz w:val="24"/>
        </w:rPr>
      </w:pPr>
      <w:r>
        <w:rPr>
          <w:rFonts w:hint="eastAsia"/>
          <w:sz w:val="24"/>
        </w:rPr>
        <w:t>（4）企业获得的荣誉、受过的违规处罚情况等</w:t>
      </w:r>
    </w:p>
    <w:p>
      <w:pPr>
        <w:spacing w:line="360" w:lineRule="auto"/>
        <w:rPr>
          <w:sz w:val="24"/>
        </w:rPr>
      </w:pPr>
      <w:r>
        <w:rPr>
          <w:rFonts w:hint="eastAsia"/>
          <w:sz w:val="24"/>
        </w:rPr>
        <w:t>（三）投标人认为需要说明的其它情况</w:t>
      </w:r>
    </w:p>
    <w:p>
      <w:pPr>
        <w:spacing w:line="400" w:lineRule="exact"/>
        <w:rPr>
          <w:sz w:val="24"/>
        </w:rPr>
      </w:pPr>
    </w:p>
    <w:p>
      <w:pPr>
        <w:spacing w:line="400" w:lineRule="exact"/>
        <w:rPr>
          <w:sz w:val="24"/>
        </w:rPr>
      </w:pPr>
    </w:p>
    <w:p>
      <w:pPr>
        <w:pStyle w:val="3"/>
        <w:numPr>
          <w:ilvl w:val="1"/>
          <w:numId w:val="0"/>
        </w:numPr>
        <w:spacing w:line="600" w:lineRule="exact"/>
        <w:jc w:val="center"/>
        <w:rPr>
          <w:rFonts w:ascii="宋体" w:hAnsi="宋体" w:eastAsia="宋体"/>
          <w:w w:val="100"/>
          <w:kern w:val="32"/>
          <w:sz w:val="24"/>
        </w:rPr>
      </w:pPr>
      <w:r>
        <w:rPr>
          <w:rFonts w:ascii="宋体" w:hAnsi="宋体" w:eastAsia="宋体"/>
        </w:rPr>
        <w:br w:type="page"/>
      </w:r>
      <w:bookmarkStart w:id="92" w:name="_Toc227520437"/>
      <w:bookmarkStart w:id="93" w:name="_Toc321052838"/>
      <w:r>
        <w:rPr>
          <w:rFonts w:hint="eastAsia" w:ascii="宋体" w:hAnsi="宋体" w:eastAsia="宋体"/>
          <w:w w:val="100"/>
          <w:kern w:val="32"/>
        </w:rPr>
        <w:t>四、投标报价表</w:t>
      </w:r>
      <w:bookmarkEnd w:id="92"/>
      <w:bookmarkEnd w:id="93"/>
    </w:p>
    <w:p>
      <w:pPr>
        <w:spacing w:line="400" w:lineRule="exact"/>
        <w:ind w:right="360"/>
        <w:rPr>
          <w:sz w:val="24"/>
        </w:rPr>
      </w:pPr>
      <w:r>
        <w:rPr>
          <w:rFonts w:hint="eastAsia"/>
          <w:sz w:val="24"/>
        </w:rPr>
        <w:t xml:space="preserve">                                                             单位：元（人民币）</w:t>
      </w: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3"/>
        <w:gridCol w:w="1753"/>
        <w:gridCol w:w="2611"/>
        <w:gridCol w:w="40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atLeast"/>
          <w:jc w:val="center"/>
        </w:trPr>
        <w:tc>
          <w:tcPr>
            <w:tcW w:w="833" w:type="dxa"/>
            <w:vAlign w:val="center"/>
          </w:tcPr>
          <w:p>
            <w:pPr>
              <w:spacing w:line="480" w:lineRule="exact"/>
              <w:jc w:val="center"/>
              <w:rPr>
                <w:sz w:val="24"/>
              </w:rPr>
            </w:pPr>
            <w:r>
              <w:rPr>
                <w:rFonts w:hint="eastAsia"/>
                <w:sz w:val="24"/>
              </w:rPr>
              <w:t>序号</w:t>
            </w:r>
          </w:p>
        </w:tc>
        <w:tc>
          <w:tcPr>
            <w:tcW w:w="4364" w:type="dxa"/>
            <w:gridSpan w:val="2"/>
            <w:vAlign w:val="center"/>
          </w:tcPr>
          <w:p>
            <w:pPr>
              <w:spacing w:line="480" w:lineRule="exact"/>
              <w:jc w:val="center"/>
              <w:rPr>
                <w:sz w:val="24"/>
              </w:rPr>
            </w:pPr>
            <w:r>
              <w:rPr>
                <w:rFonts w:hint="eastAsia"/>
                <w:sz w:val="24"/>
              </w:rPr>
              <w:t>项目名称</w:t>
            </w:r>
          </w:p>
        </w:tc>
        <w:tc>
          <w:tcPr>
            <w:tcW w:w="4035" w:type="dxa"/>
            <w:vAlign w:val="center"/>
          </w:tcPr>
          <w:p>
            <w:pPr>
              <w:spacing w:line="48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atLeast"/>
          <w:jc w:val="center"/>
        </w:trPr>
        <w:tc>
          <w:tcPr>
            <w:tcW w:w="833" w:type="dxa"/>
            <w:vMerge w:val="restart"/>
            <w:vAlign w:val="center"/>
          </w:tcPr>
          <w:p>
            <w:pPr>
              <w:spacing w:line="480" w:lineRule="exact"/>
              <w:jc w:val="center"/>
              <w:rPr>
                <w:sz w:val="24"/>
              </w:rPr>
            </w:pPr>
            <w:r>
              <w:rPr>
                <w:rFonts w:hint="eastAsia"/>
                <w:sz w:val="24"/>
              </w:rPr>
              <w:t>1</w:t>
            </w:r>
          </w:p>
        </w:tc>
        <w:tc>
          <w:tcPr>
            <w:tcW w:w="1753" w:type="dxa"/>
            <w:vMerge w:val="restart"/>
            <w:vAlign w:val="center"/>
          </w:tcPr>
          <w:p>
            <w:pPr>
              <w:spacing w:line="480" w:lineRule="exact"/>
              <w:jc w:val="center"/>
              <w:rPr>
                <w:sz w:val="24"/>
              </w:rPr>
            </w:pPr>
            <w:r>
              <w:rPr>
                <w:rFonts w:hint="eastAsia"/>
                <w:sz w:val="24"/>
              </w:rPr>
              <w:t>经营权报价</w:t>
            </w:r>
          </w:p>
        </w:tc>
        <w:tc>
          <w:tcPr>
            <w:tcW w:w="2611" w:type="dxa"/>
            <w:vAlign w:val="center"/>
          </w:tcPr>
          <w:p>
            <w:pPr>
              <w:spacing w:line="480" w:lineRule="exact"/>
              <w:ind w:left="1"/>
              <w:jc w:val="center"/>
              <w:rPr>
                <w:sz w:val="24"/>
              </w:rPr>
            </w:pPr>
            <w:r>
              <w:rPr>
                <w:rFonts w:hint="eastAsia"/>
                <w:sz w:val="24"/>
              </w:rPr>
              <w:t>前三年起始承包价</w:t>
            </w:r>
          </w:p>
        </w:tc>
        <w:tc>
          <w:tcPr>
            <w:tcW w:w="4035" w:type="dxa"/>
            <w:vAlign w:val="center"/>
          </w:tcPr>
          <w:p>
            <w:pPr>
              <w:pStyle w:val="56"/>
              <w:widowControl w:val="0"/>
              <w:pBdr>
                <w:left w:val="none" w:color="auto" w:sz="0" w:space="0"/>
                <w:right w:val="none" w:color="auto" w:sz="0" w:space="0"/>
              </w:pBdr>
              <w:spacing w:before="0" w:beforeAutospacing="0" w:after="0" w:afterAutospacing="0" w:line="480" w:lineRule="exact"/>
              <w:jc w:val="both"/>
              <w:textAlignment w:val="auto"/>
              <w:rPr>
                <w:kern w:val="2"/>
              </w:rPr>
            </w:pPr>
            <w:r>
              <w:rPr>
                <w:rFonts w:hint="eastAsia" w:ascii="Calibri" w:hAnsi="Calibri"/>
                <w:kern w:val="2"/>
              </w:rPr>
              <w:t>单价：            元/㎡/月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1" w:hRule="atLeast"/>
          <w:jc w:val="center"/>
        </w:trPr>
        <w:tc>
          <w:tcPr>
            <w:tcW w:w="833" w:type="dxa"/>
            <w:vMerge w:val="continue"/>
            <w:vAlign w:val="center"/>
          </w:tcPr>
          <w:p>
            <w:pPr>
              <w:spacing w:line="480" w:lineRule="exact"/>
              <w:jc w:val="center"/>
              <w:rPr>
                <w:sz w:val="24"/>
              </w:rPr>
            </w:pPr>
          </w:p>
        </w:tc>
        <w:tc>
          <w:tcPr>
            <w:tcW w:w="1753" w:type="dxa"/>
            <w:vMerge w:val="continue"/>
            <w:vAlign w:val="center"/>
          </w:tcPr>
          <w:p>
            <w:pPr>
              <w:spacing w:line="480" w:lineRule="exact"/>
              <w:jc w:val="center"/>
              <w:rPr>
                <w:sz w:val="24"/>
              </w:rPr>
            </w:pPr>
          </w:p>
        </w:tc>
        <w:tc>
          <w:tcPr>
            <w:tcW w:w="2611" w:type="dxa"/>
            <w:vAlign w:val="center"/>
          </w:tcPr>
          <w:p>
            <w:pPr>
              <w:spacing w:line="480" w:lineRule="exact"/>
              <w:ind w:left="1"/>
              <w:jc w:val="center"/>
              <w:rPr>
                <w:sz w:val="24"/>
              </w:rPr>
            </w:pPr>
            <w:r>
              <w:rPr>
                <w:rFonts w:hint="eastAsia"/>
                <w:sz w:val="24"/>
              </w:rPr>
              <w:t>经营权承包金总额</w:t>
            </w:r>
          </w:p>
        </w:tc>
        <w:tc>
          <w:tcPr>
            <w:tcW w:w="4035" w:type="dxa"/>
            <w:vAlign w:val="center"/>
          </w:tcPr>
          <w:p>
            <w:pPr>
              <w:spacing w:line="480" w:lineRule="exact"/>
              <w:rPr>
                <w:rFonts w:hint="eastAsia"/>
                <w:sz w:val="24"/>
              </w:rPr>
            </w:pPr>
            <w:r>
              <w:rPr>
                <w:rFonts w:hint="eastAsia"/>
                <w:sz w:val="24"/>
              </w:rPr>
              <w:t>16年总额:</w:t>
            </w:r>
          </w:p>
          <w:p>
            <w:pPr>
              <w:spacing w:line="480" w:lineRule="exact"/>
              <w:rPr>
                <w:rFonts w:hint="eastAsia"/>
                <w:sz w:val="24"/>
              </w:rPr>
            </w:pPr>
            <w:r>
              <w:rPr>
                <w:rFonts w:hint="eastAsia"/>
                <w:sz w:val="24"/>
                <w:lang w:eastAsia="zh-CN"/>
              </w:rPr>
              <w:t>大写：</w:t>
            </w:r>
            <w:r>
              <w:rPr>
                <w:rFonts w:hint="eastAsia"/>
                <w:sz w:val="24"/>
              </w:rPr>
              <w:t xml:space="preserve">                 元</w:t>
            </w:r>
          </w:p>
          <w:p>
            <w:pPr>
              <w:spacing w:line="480" w:lineRule="exact"/>
              <w:rPr>
                <w:rFonts w:hint="default" w:eastAsia="宋体"/>
                <w:sz w:val="24"/>
                <w:lang w:val="en-US" w:eastAsia="zh-CN"/>
              </w:rPr>
            </w:pPr>
            <w:r>
              <w:rPr>
                <w:rFonts w:hint="eastAsia"/>
                <w:sz w:val="24"/>
                <w:lang w:eastAsia="zh-CN"/>
              </w:rPr>
              <w:t>小写：</w:t>
            </w:r>
            <w:r>
              <w:rPr>
                <w:rFonts w:hint="eastAsia"/>
                <w:sz w:val="24"/>
                <w:lang w:val="en-US" w:eastAsia="zh-CN"/>
              </w:rPr>
              <w:t xml:space="preserve">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55" w:hRule="atLeast"/>
          <w:jc w:val="center"/>
        </w:trPr>
        <w:tc>
          <w:tcPr>
            <w:tcW w:w="833" w:type="dxa"/>
            <w:vAlign w:val="center"/>
          </w:tcPr>
          <w:p>
            <w:pPr>
              <w:spacing w:line="480" w:lineRule="exact"/>
              <w:ind w:left="1200" w:hanging="1200" w:hangingChars="500"/>
              <w:jc w:val="center"/>
              <w:rPr>
                <w:sz w:val="24"/>
              </w:rPr>
            </w:pPr>
            <w:r>
              <w:rPr>
                <w:rFonts w:hint="eastAsia"/>
                <w:sz w:val="24"/>
              </w:rPr>
              <w:t>2</w:t>
            </w:r>
          </w:p>
        </w:tc>
        <w:tc>
          <w:tcPr>
            <w:tcW w:w="4364" w:type="dxa"/>
            <w:gridSpan w:val="2"/>
            <w:vAlign w:val="center"/>
          </w:tcPr>
          <w:p>
            <w:pPr>
              <w:spacing w:line="480" w:lineRule="exact"/>
              <w:ind w:left="1200" w:hanging="1200" w:hangingChars="500"/>
              <w:jc w:val="center"/>
              <w:rPr>
                <w:sz w:val="24"/>
              </w:rPr>
            </w:pPr>
            <w:r>
              <w:rPr>
                <w:rFonts w:hint="eastAsia"/>
                <w:sz w:val="24"/>
              </w:rPr>
              <w:t>承包年限</w:t>
            </w:r>
          </w:p>
        </w:tc>
        <w:tc>
          <w:tcPr>
            <w:tcW w:w="4035" w:type="dxa"/>
            <w:vAlign w:val="center"/>
          </w:tcPr>
          <w:p>
            <w:pPr>
              <w:pStyle w:val="56"/>
              <w:widowControl w:val="0"/>
              <w:pBdr>
                <w:left w:val="none" w:color="auto" w:sz="0" w:space="0"/>
                <w:right w:val="none" w:color="auto" w:sz="0" w:space="0"/>
              </w:pBdr>
              <w:spacing w:before="0" w:beforeAutospacing="0" w:after="0" w:afterAutospacing="0" w:line="480" w:lineRule="exact"/>
              <w:jc w:val="both"/>
              <w:textAlignment w:val="auto"/>
              <w:rPr>
                <w:kern w:val="2"/>
              </w:rPr>
            </w:pPr>
            <w:r>
              <w:rPr>
                <w:rFonts w:hint="eastAsia"/>
                <w:kern w:val="2"/>
              </w:rPr>
              <w:t>16年（包含</w:t>
            </w:r>
            <w:r>
              <w:rPr>
                <w:rFonts w:hint="eastAsia" w:cs="Arial"/>
                <w:color w:val="000000"/>
              </w:rPr>
              <w:t>经营免租期1年）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0" w:hRule="atLeast"/>
          <w:jc w:val="center"/>
        </w:trPr>
        <w:tc>
          <w:tcPr>
            <w:tcW w:w="833" w:type="dxa"/>
            <w:vAlign w:val="center"/>
          </w:tcPr>
          <w:p>
            <w:pPr>
              <w:spacing w:line="480" w:lineRule="exact"/>
              <w:ind w:left="1200" w:hanging="1200" w:hangingChars="500"/>
              <w:jc w:val="center"/>
              <w:rPr>
                <w:sz w:val="24"/>
              </w:rPr>
            </w:pPr>
            <w:r>
              <w:rPr>
                <w:rFonts w:hint="eastAsia"/>
                <w:sz w:val="24"/>
              </w:rPr>
              <w:t>3</w:t>
            </w:r>
          </w:p>
        </w:tc>
        <w:tc>
          <w:tcPr>
            <w:tcW w:w="4364" w:type="dxa"/>
            <w:gridSpan w:val="2"/>
            <w:vAlign w:val="center"/>
          </w:tcPr>
          <w:p>
            <w:pPr>
              <w:spacing w:line="480" w:lineRule="exact"/>
              <w:ind w:left="1200" w:hanging="1200" w:hangingChars="500"/>
              <w:jc w:val="center"/>
              <w:rPr>
                <w:sz w:val="24"/>
              </w:rPr>
            </w:pPr>
            <w:r>
              <w:rPr>
                <w:rFonts w:hint="eastAsia"/>
                <w:sz w:val="24"/>
              </w:rPr>
              <w:t>服务承诺</w:t>
            </w:r>
          </w:p>
        </w:tc>
        <w:tc>
          <w:tcPr>
            <w:tcW w:w="4035" w:type="dxa"/>
            <w:vAlign w:val="center"/>
          </w:tcPr>
          <w:p>
            <w:pPr>
              <w:pStyle w:val="56"/>
              <w:widowControl w:val="0"/>
              <w:pBdr>
                <w:left w:val="none" w:color="auto" w:sz="0" w:space="0"/>
                <w:right w:val="none" w:color="auto" w:sz="0" w:space="0"/>
              </w:pBdr>
              <w:spacing w:before="0" w:beforeAutospacing="0" w:after="0" w:afterAutospacing="0" w:line="480" w:lineRule="exact"/>
              <w:jc w:val="both"/>
              <w:textAlignment w:val="auto"/>
              <w:rPr>
                <w:kern w:val="2"/>
              </w:rPr>
            </w:pPr>
            <w:r>
              <w:rPr>
                <w:rFonts w:hint="eastAsia"/>
                <w:kern w:val="2"/>
              </w:rPr>
              <w:t>达到招标人的服务标准要求。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0" w:hRule="atLeast"/>
          <w:jc w:val="center"/>
        </w:trPr>
        <w:tc>
          <w:tcPr>
            <w:tcW w:w="833" w:type="dxa"/>
            <w:vAlign w:val="center"/>
          </w:tcPr>
          <w:p>
            <w:pPr>
              <w:spacing w:line="480" w:lineRule="exact"/>
              <w:ind w:left="1200" w:hanging="1200" w:hangingChars="500"/>
              <w:jc w:val="center"/>
              <w:rPr>
                <w:sz w:val="24"/>
              </w:rPr>
            </w:pPr>
            <w:r>
              <w:rPr>
                <w:rFonts w:hint="eastAsia"/>
                <w:sz w:val="24"/>
              </w:rPr>
              <w:t>4</w:t>
            </w:r>
          </w:p>
        </w:tc>
        <w:tc>
          <w:tcPr>
            <w:tcW w:w="4364" w:type="dxa"/>
            <w:gridSpan w:val="2"/>
            <w:vAlign w:val="center"/>
          </w:tcPr>
          <w:p>
            <w:pPr>
              <w:spacing w:line="480" w:lineRule="exact"/>
              <w:ind w:left="1200" w:hanging="1200" w:hangingChars="500"/>
              <w:jc w:val="center"/>
              <w:rPr>
                <w:sz w:val="24"/>
              </w:rPr>
            </w:pPr>
            <w:r>
              <w:rPr>
                <w:rFonts w:hint="eastAsia"/>
                <w:sz w:val="24"/>
              </w:rPr>
              <w:t>合同条款</w:t>
            </w:r>
          </w:p>
        </w:tc>
        <w:tc>
          <w:tcPr>
            <w:tcW w:w="4035" w:type="dxa"/>
            <w:vAlign w:val="center"/>
          </w:tcPr>
          <w:p>
            <w:pPr>
              <w:pStyle w:val="56"/>
              <w:widowControl w:val="0"/>
              <w:pBdr>
                <w:left w:val="none" w:color="auto" w:sz="0" w:space="0"/>
                <w:right w:val="none" w:color="auto" w:sz="0" w:space="0"/>
              </w:pBdr>
              <w:spacing w:before="0" w:beforeAutospacing="0" w:after="0" w:afterAutospacing="0" w:line="480" w:lineRule="exact"/>
              <w:jc w:val="both"/>
              <w:textAlignment w:val="auto"/>
              <w:rPr>
                <w:kern w:val="2"/>
              </w:rPr>
            </w:pPr>
            <w:r>
              <w:rPr>
                <w:rFonts w:hint="eastAsia"/>
                <w:kern w:val="2"/>
              </w:rPr>
              <w:t>同意并接受招标文件的全部内容。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0" w:hRule="atLeast"/>
          <w:jc w:val="center"/>
        </w:trPr>
        <w:tc>
          <w:tcPr>
            <w:tcW w:w="9232" w:type="dxa"/>
            <w:gridSpan w:val="4"/>
            <w:vAlign w:val="center"/>
          </w:tcPr>
          <w:p>
            <w:pPr>
              <w:pStyle w:val="56"/>
              <w:widowControl w:val="0"/>
              <w:pBdr>
                <w:left w:val="none" w:color="auto" w:sz="0" w:space="0"/>
                <w:right w:val="none" w:color="auto" w:sz="0" w:space="0"/>
              </w:pBdr>
              <w:spacing w:before="0" w:beforeAutospacing="0" w:after="0" w:afterAutospacing="0" w:line="480" w:lineRule="exact"/>
              <w:jc w:val="both"/>
              <w:textAlignment w:val="auto"/>
              <w:rPr>
                <w:kern w:val="2"/>
              </w:rPr>
            </w:pPr>
            <w:r>
              <w:rPr>
                <w:rFonts w:hint="eastAsia"/>
                <w:kern w:val="2"/>
              </w:rPr>
              <w:t>备注：以上投标报价不包含</w:t>
            </w:r>
            <w:r>
              <w:rPr>
                <w:rFonts w:hint="eastAsia"/>
              </w:rPr>
              <w:t>免租期内需承担8元/㎡/月的空调能耗费</w:t>
            </w:r>
          </w:p>
        </w:tc>
      </w:tr>
    </w:tbl>
    <w:p>
      <w:pPr>
        <w:pStyle w:val="17"/>
        <w:spacing w:line="400" w:lineRule="exact"/>
        <w:ind w:left="0" w:leftChars="0"/>
        <w:rPr>
          <w:rFonts w:ascii="宋体"/>
          <w:b/>
          <w:sz w:val="24"/>
        </w:rPr>
      </w:pPr>
    </w:p>
    <w:p/>
    <w:p>
      <w:pPr>
        <w:spacing w:line="360" w:lineRule="auto"/>
        <w:ind w:firstLine="495"/>
        <w:jc w:val="right"/>
        <w:rPr>
          <w:sz w:val="24"/>
        </w:rPr>
      </w:pPr>
      <w:r>
        <w:rPr>
          <w:rFonts w:hint="eastAsia"/>
          <w:sz w:val="24"/>
        </w:rPr>
        <w:t>投 标 人：</w:t>
      </w:r>
      <w:r>
        <w:rPr>
          <w:rFonts w:hint="eastAsia"/>
          <w:sz w:val="24"/>
          <w:u w:val="single"/>
        </w:rPr>
        <w:t xml:space="preserve">               （全称）                </w:t>
      </w:r>
      <w:r>
        <w:rPr>
          <w:rFonts w:hint="eastAsia"/>
          <w:sz w:val="24"/>
        </w:rPr>
        <w:t>（盖单位公章）</w:t>
      </w:r>
    </w:p>
    <w:p>
      <w:pPr>
        <w:spacing w:line="360" w:lineRule="auto"/>
        <w:ind w:firstLine="495"/>
        <w:jc w:val="right"/>
        <w:rPr>
          <w:sz w:val="24"/>
        </w:rPr>
      </w:pPr>
      <w:r>
        <w:rPr>
          <w:rFonts w:hint="eastAsia"/>
          <w:sz w:val="24"/>
        </w:rPr>
        <w:t>法定代表人或其委托代理人：</w:t>
      </w:r>
      <w:r>
        <w:rPr>
          <w:rFonts w:hint="eastAsia"/>
          <w:sz w:val="24"/>
          <w:u w:val="single"/>
        </w:rPr>
        <w:t xml:space="preserve">                </w:t>
      </w:r>
      <w:r>
        <w:rPr>
          <w:rFonts w:hint="eastAsia"/>
          <w:sz w:val="24"/>
        </w:rPr>
        <w:t>（签字或盖章）</w:t>
      </w:r>
    </w:p>
    <w:p>
      <w:pPr>
        <w:spacing w:line="400" w:lineRule="exact"/>
        <w:jc w:val="right"/>
        <w:rPr>
          <w:sz w:val="24"/>
        </w:rPr>
      </w:pPr>
      <w:r>
        <w:rPr>
          <w:rFonts w:hint="eastAsia"/>
          <w:sz w:val="24"/>
        </w:rPr>
        <w:t xml:space="preserve">                                 年   月   日</w:t>
      </w:r>
    </w:p>
    <w:p>
      <w:pPr>
        <w:pStyle w:val="3"/>
        <w:numPr>
          <w:ilvl w:val="1"/>
          <w:numId w:val="0"/>
        </w:numPr>
        <w:spacing w:line="600" w:lineRule="exact"/>
        <w:jc w:val="center"/>
        <w:rPr>
          <w:rFonts w:ascii="宋体" w:hAnsi="宋体" w:eastAsia="宋体"/>
          <w:w w:val="100"/>
          <w:kern w:val="32"/>
        </w:rPr>
      </w:pPr>
      <w:r>
        <w:rPr>
          <w:rFonts w:ascii="宋体" w:hAnsi="宋体" w:eastAsia="宋体"/>
          <w:bCs w:val="0"/>
          <w:sz w:val="24"/>
        </w:rPr>
        <w:br w:type="page"/>
      </w:r>
      <w:r>
        <w:rPr>
          <w:rFonts w:hint="eastAsia" w:ascii="宋体" w:hAnsi="宋体" w:eastAsia="宋体"/>
          <w:w w:val="100"/>
          <w:kern w:val="32"/>
        </w:rPr>
        <w:t>投标报价附录</w:t>
      </w:r>
    </w:p>
    <w:tbl>
      <w:tblPr>
        <w:tblStyle w:val="33"/>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667"/>
        <w:gridCol w:w="314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年限</w:t>
            </w:r>
          </w:p>
        </w:tc>
        <w:tc>
          <w:tcPr>
            <w:tcW w:w="2667"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元/平方米报价</w:t>
            </w:r>
          </w:p>
        </w:tc>
        <w:tc>
          <w:tcPr>
            <w:tcW w:w="3144"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合计（面积暂按</w:t>
            </w:r>
            <w:r>
              <w:rPr>
                <w:rFonts w:hint="eastAsia" w:ascii="宋体" w:hAnsi="宋体" w:eastAsia="宋体" w:cs="Arial"/>
                <w:color w:val="000000"/>
                <w:sz w:val="24"/>
                <w:szCs w:val="24"/>
                <w:u w:val="single"/>
              </w:rPr>
              <w:t>21290.47</w:t>
            </w:r>
            <w:r>
              <w:rPr>
                <w:rFonts w:hint="eastAsia" w:ascii="宋体" w:hAnsi="宋体" w:eastAsia="宋体" w:cs="Arial"/>
                <w:color w:val="000000"/>
                <w:sz w:val="24"/>
                <w:szCs w:val="24"/>
              </w:rPr>
              <w:t>平米计算</w:t>
            </w:r>
            <w:r>
              <w:rPr>
                <w:rFonts w:ascii="宋体" w:hAnsi="宋体" w:eastAsia="宋体" w:cs="Arial"/>
                <w:color w:val="000000"/>
                <w:sz w:val="24"/>
                <w:szCs w:val="24"/>
              </w:rPr>
              <w:t>）</w:t>
            </w:r>
          </w:p>
        </w:tc>
        <w:tc>
          <w:tcPr>
            <w:tcW w:w="1801"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递增比例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第一年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第二年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第三年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第四年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第五年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第六年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第七年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第八年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第九年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第十年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第十一年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第十二年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第十三年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第十四年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第十五年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第十六年</w:t>
            </w:r>
          </w:p>
        </w:tc>
        <w:tc>
          <w:tcPr>
            <w:tcW w:w="2667" w:type="dxa"/>
          </w:tcPr>
          <w:p>
            <w:pPr>
              <w:pStyle w:val="3"/>
              <w:numPr>
                <w:ilvl w:val="1"/>
                <w:numId w:val="0"/>
              </w:numPr>
              <w:spacing w:line="600" w:lineRule="exact"/>
              <w:jc w:val="center"/>
              <w:rPr>
                <w:rFonts w:ascii="宋体" w:hAnsi="宋体" w:eastAsia="宋体" w:cs="Tahoma"/>
                <w:bCs w:val="0"/>
                <w:sz w:val="24"/>
              </w:rPr>
            </w:pPr>
          </w:p>
        </w:tc>
        <w:tc>
          <w:tcPr>
            <w:tcW w:w="3144" w:type="dxa"/>
          </w:tcPr>
          <w:p>
            <w:pPr>
              <w:pStyle w:val="3"/>
              <w:numPr>
                <w:ilvl w:val="1"/>
                <w:numId w:val="0"/>
              </w:numPr>
              <w:spacing w:line="600" w:lineRule="exact"/>
              <w:jc w:val="center"/>
              <w:rPr>
                <w:rFonts w:ascii="宋体" w:hAnsi="宋体" w:eastAsia="宋体" w:cs="Tahoma"/>
                <w:bCs w:val="0"/>
                <w:sz w:val="24"/>
              </w:rPr>
            </w:pPr>
          </w:p>
        </w:tc>
        <w:tc>
          <w:tcPr>
            <w:tcW w:w="1801" w:type="dxa"/>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5" w:type="dxa"/>
            <w:gridSpan w:val="2"/>
          </w:tcPr>
          <w:p>
            <w:pPr>
              <w:pStyle w:val="3"/>
              <w:numPr>
                <w:ilvl w:val="1"/>
                <w:numId w:val="0"/>
              </w:numPr>
              <w:spacing w:line="600" w:lineRule="exact"/>
              <w:jc w:val="center"/>
              <w:rPr>
                <w:rFonts w:ascii="宋体" w:hAnsi="宋体" w:eastAsia="宋体" w:cs="Tahoma"/>
                <w:bCs w:val="0"/>
                <w:sz w:val="24"/>
              </w:rPr>
            </w:pPr>
            <w:r>
              <w:rPr>
                <w:rFonts w:hint="eastAsia" w:ascii="宋体" w:hAnsi="宋体" w:eastAsia="宋体" w:cs="Tahoma"/>
                <w:bCs w:val="0"/>
                <w:sz w:val="24"/>
              </w:rPr>
              <w:t>总报价合计</w:t>
            </w:r>
          </w:p>
        </w:tc>
        <w:tc>
          <w:tcPr>
            <w:tcW w:w="4945" w:type="dxa"/>
            <w:gridSpan w:val="2"/>
          </w:tcPr>
          <w:p>
            <w:pPr>
              <w:pStyle w:val="3"/>
              <w:numPr>
                <w:ilvl w:val="1"/>
                <w:numId w:val="0"/>
              </w:numPr>
              <w:spacing w:line="600" w:lineRule="exact"/>
              <w:jc w:val="center"/>
              <w:rPr>
                <w:rFonts w:ascii="宋体" w:hAnsi="宋体" w:eastAsia="宋体" w:cs="Tahoma"/>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0" w:type="dxa"/>
            <w:gridSpan w:val="4"/>
          </w:tcPr>
          <w:p>
            <w:pPr>
              <w:pStyle w:val="3"/>
              <w:numPr>
                <w:ilvl w:val="1"/>
                <w:numId w:val="0"/>
              </w:numPr>
              <w:spacing w:line="600" w:lineRule="exact"/>
              <w:rPr>
                <w:rFonts w:ascii="宋体" w:hAnsi="宋体" w:eastAsia="宋体" w:cs="Tahoma"/>
                <w:bCs w:val="0"/>
                <w:sz w:val="24"/>
              </w:rPr>
            </w:pPr>
            <w:r>
              <w:rPr>
                <w:rFonts w:hint="eastAsia" w:ascii="宋体" w:hAnsi="宋体" w:eastAsia="宋体" w:cs="Tahoma"/>
                <w:bCs w:val="0"/>
                <w:sz w:val="24"/>
              </w:rPr>
              <w:t>报价说明：</w:t>
            </w:r>
          </w:p>
          <w:p>
            <w:pPr>
              <w:pStyle w:val="3"/>
              <w:numPr>
                <w:ilvl w:val="1"/>
                <w:numId w:val="0"/>
              </w:numPr>
              <w:spacing w:line="600" w:lineRule="exact"/>
              <w:rPr>
                <w:rFonts w:ascii="宋体" w:hAnsi="宋体" w:eastAsia="宋体" w:cs="Tahoma"/>
                <w:bCs w:val="0"/>
                <w:sz w:val="24"/>
              </w:rPr>
            </w:pPr>
            <w:r>
              <w:rPr>
                <w:rFonts w:hint="eastAsia" w:ascii="宋体" w:hAnsi="宋体" w:eastAsia="宋体" w:cs="Tahoma"/>
                <w:bCs w:val="0"/>
                <w:sz w:val="24"/>
              </w:rPr>
              <w:t>前三年租金起始底价为43元/平米/月（包含场地租金、空调能耗费、基础物业费、税费、红线内外墙与外场广告活动权益费），前2年给予经营免租期12个月（每年分摊6个月），经营免租期内不需要缴纳租赁费用，但仍需承担8元/㎡/月的空调能耗费。</w:t>
            </w:r>
          </w:p>
          <w:p>
            <w:pPr>
              <w:pStyle w:val="3"/>
              <w:numPr>
                <w:ilvl w:val="1"/>
                <w:numId w:val="0"/>
              </w:numPr>
              <w:spacing w:line="600" w:lineRule="exact"/>
              <w:rPr>
                <w:rFonts w:ascii="宋体" w:hAnsi="宋体" w:eastAsia="宋体" w:cs="Tahoma"/>
                <w:bCs w:val="0"/>
                <w:sz w:val="24"/>
              </w:rPr>
            </w:pPr>
            <w:r>
              <w:rPr>
                <w:rFonts w:hint="eastAsia" w:ascii="宋体" w:hAnsi="宋体" w:eastAsia="宋体" w:cs="Tahoma"/>
                <w:bCs w:val="0"/>
                <w:sz w:val="24"/>
              </w:rPr>
              <w:t>租金递增方式：前三年不递增，第四年递增 5 %，第四年（含）开始每两年递增5 %。</w:t>
            </w:r>
          </w:p>
        </w:tc>
      </w:tr>
    </w:tbl>
    <w:p>
      <w:pPr>
        <w:pStyle w:val="3"/>
        <w:numPr>
          <w:ilvl w:val="1"/>
          <w:numId w:val="0"/>
        </w:numPr>
        <w:spacing w:line="600" w:lineRule="exact"/>
        <w:jc w:val="center"/>
        <w:rPr>
          <w:rFonts w:ascii="宋体" w:hAnsi="宋体" w:eastAsia="宋体"/>
          <w:w w:val="100"/>
          <w:kern w:val="32"/>
        </w:rPr>
      </w:pPr>
      <w:r>
        <w:rPr>
          <w:rFonts w:ascii="宋体" w:hAnsi="宋体" w:eastAsia="宋体"/>
          <w:bCs w:val="0"/>
          <w:sz w:val="24"/>
        </w:rPr>
        <w:br w:type="page"/>
      </w:r>
      <w:bookmarkStart w:id="94" w:name="_Toc321052845"/>
      <w:bookmarkStart w:id="95" w:name="_Toc321052839"/>
      <w:bookmarkStart w:id="96" w:name="_Toc228255662"/>
      <w:r>
        <w:rPr>
          <w:rFonts w:hint="eastAsia" w:ascii="宋体" w:hAnsi="宋体" w:eastAsia="宋体"/>
          <w:w w:val="100"/>
          <w:kern w:val="32"/>
        </w:rPr>
        <w:t>五、投标承诺书</w:t>
      </w:r>
      <w:bookmarkEnd w:id="94"/>
    </w:p>
    <w:p/>
    <w:p>
      <w:pPr>
        <w:spacing w:line="360" w:lineRule="auto"/>
        <w:jc w:val="left"/>
        <w:rPr>
          <w:rFonts w:cs="Arial"/>
          <w:sz w:val="24"/>
          <w:lang w:val="sq-AL"/>
        </w:rPr>
      </w:pPr>
      <w:r>
        <w:rPr>
          <w:rFonts w:cs="Arial"/>
          <w:sz w:val="24"/>
          <w:lang w:val="sq-AL"/>
        </w:rPr>
        <w:t>（招标人）——————————————：</w:t>
      </w:r>
    </w:p>
    <w:p>
      <w:pPr>
        <w:spacing w:line="360" w:lineRule="auto"/>
        <w:ind w:firstLine="480" w:firstLineChars="200"/>
        <w:jc w:val="left"/>
        <w:rPr>
          <w:rFonts w:cs="Arial"/>
          <w:sz w:val="24"/>
          <w:lang w:val="sq-AL"/>
        </w:rPr>
      </w:pPr>
      <w:r>
        <w:rPr>
          <w:rFonts w:cs="Arial"/>
          <w:sz w:val="24"/>
          <w:lang w:val="sq-AL"/>
        </w:rPr>
        <w:t>为了充分体现公平竞争、诚信投标行为，我单位对参与</w:t>
      </w:r>
      <w:r>
        <w:rPr>
          <w:rFonts w:hint="eastAsia" w:cs="Arial"/>
          <w:sz w:val="24"/>
          <w:u w:val="single"/>
          <w:lang w:val="sq-AL"/>
        </w:rPr>
        <w:t xml:space="preserve">                      </w:t>
      </w:r>
      <w:r>
        <w:rPr>
          <w:rFonts w:cs="Arial"/>
          <w:sz w:val="24"/>
          <w:lang w:val="sq-AL"/>
        </w:rPr>
        <w:t>项目的投标作出如下承诺：</w:t>
      </w:r>
    </w:p>
    <w:p>
      <w:pPr>
        <w:spacing w:line="360" w:lineRule="auto"/>
        <w:ind w:firstLine="360" w:firstLineChars="150"/>
        <w:jc w:val="left"/>
        <w:rPr>
          <w:rFonts w:cs="Arial"/>
          <w:sz w:val="24"/>
          <w:lang w:val="sq-AL"/>
        </w:rPr>
      </w:pPr>
      <w:r>
        <w:rPr>
          <w:rFonts w:cs="Arial"/>
          <w:sz w:val="24"/>
          <w:lang w:val="sq-AL"/>
        </w:rPr>
        <w:t>1、严格遵守国家【招标投标法】及相关法律、法规，没有围标、串标、资质挂靠等违法、违规行为，投标文件所投入的管理、技术人员均为我公司正式在职人员；</w:t>
      </w:r>
    </w:p>
    <w:p>
      <w:pPr>
        <w:spacing w:line="360" w:lineRule="auto"/>
        <w:ind w:firstLine="360" w:firstLineChars="150"/>
        <w:jc w:val="left"/>
        <w:rPr>
          <w:rFonts w:cs="Arial"/>
          <w:sz w:val="24"/>
          <w:lang w:val="sq-AL"/>
        </w:rPr>
      </w:pPr>
      <w:r>
        <w:rPr>
          <w:rFonts w:cs="Arial"/>
          <w:sz w:val="24"/>
          <w:lang w:val="sq-AL"/>
        </w:rPr>
        <w:t>2、提供的资质、业绩等证明材料真实、合法、有效；</w:t>
      </w:r>
    </w:p>
    <w:p>
      <w:pPr>
        <w:spacing w:line="360" w:lineRule="auto"/>
        <w:ind w:firstLine="360" w:firstLineChars="150"/>
        <w:jc w:val="left"/>
        <w:rPr>
          <w:rFonts w:cs="Arial"/>
          <w:sz w:val="24"/>
          <w:lang w:val="sq-AL"/>
        </w:rPr>
      </w:pPr>
      <w:r>
        <w:rPr>
          <w:rFonts w:cs="Arial"/>
          <w:sz w:val="24"/>
          <w:lang w:val="sq-AL"/>
        </w:rPr>
        <w:t>3、不参与不正当竞争，不向招标人、招标代理机构、交易中心、评标专家以及行业监督部门行贿以谋取不正当利益；</w:t>
      </w:r>
    </w:p>
    <w:p>
      <w:pPr>
        <w:spacing w:line="360" w:lineRule="auto"/>
        <w:ind w:firstLine="360" w:firstLineChars="150"/>
        <w:jc w:val="left"/>
        <w:rPr>
          <w:rFonts w:cs="Arial"/>
          <w:sz w:val="24"/>
          <w:lang w:val="sq-AL"/>
        </w:rPr>
      </w:pPr>
      <w:r>
        <w:rPr>
          <w:rFonts w:cs="Arial"/>
          <w:sz w:val="24"/>
          <w:lang w:val="sq-AL"/>
        </w:rPr>
        <w:t>4、严格按照招、投标文件约定签订合同；</w:t>
      </w:r>
    </w:p>
    <w:p>
      <w:pPr>
        <w:spacing w:line="360" w:lineRule="auto"/>
        <w:ind w:firstLine="360" w:firstLineChars="150"/>
        <w:jc w:val="left"/>
        <w:rPr>
          <w:rFonts w:cs="Arial"/>
          <w:sz w:val="24"/>
          <w:lang w:val="sq-AL"/>
        </w:rPr>
      </w:pPr>
      <w:r>
        <w:rPr>
          <w:rFonts w:cs="Arial"/>
          <w:sz w:val="24"/>
          <w:lang w:val="sq-AL"/>
        </w:rPr>
        <w:t>5、主动接受行业监督部门、业主及社会各界的监督，如有违反，接受相应处罚，直至被追究法律责任</w:t>
      </w:r>
      <w:r>
        <w:rPr>
          <w:rFonts w:hint="eastAsia" w:cs="Arial"/>
          <w:sz w:val="24"/>
          <w:lang w:val="sq-AL"/>
        </w:rPr>
        <w:t>；</w:t>
      </w:r>
    </w:p>
    <w:p>
      <w:pPr>
        <w:spacing w:line="360" w:lineRule="auto"/>
        <w:ind w:firstLine="360" w:firstLineChars="150"/>
        <w:jc w:val="left"/>
        <w:rPr>
          <w:rFonts w:cs="Arial"/>
          <w:sz w:val="24"/>
          <w:lang w:val="sq-AL"/>
        </w:rPr>
      </w:pPr>
      <w:r>
        <w:rPr>
          <w:rFonts w:hint="eastAsia" w:cs="Arial"/>
          <w:sz w:val="24"/>
          <w:lang w:val="sq-AL"/>
        </w:rPr>
        <w:t>6、对项目情况及建筑物权属性质已知晓，中标后不得要求招标人或合同签订甲方配合办理任何与其经营相关的经营手续及证照；</w:t>
      </w:r>
    </w:p>
    <w:p>
      <w:pPr>
        <w:spacing w:line="360" w:lineRule="auto"/>
        <w:ind w:firstLine="360" w:firstLineChars="150"/>
        <w:jc w:val="left"/>
        <w:rPr>
          <w:rFonts w:cs="Arial"/>
          <w:sz w:val="24"/>
          <w:lang w:val="sq-AL"/>
        </w:rPr>
      </w:pPr>
      <w:r>
        <w:rPr>
          <w:rFonts w:hint="eastAsia" w:cs="Arial"/>
          <w:sz w:val="24"/>
          <w:lang w:val="sq-AL"/>
        </w:rPr>
        <w:t>7、按照投标文件中维护方案对经营范围内实施维护及修缮。</w:t>
      </w:r>
    </w:p>
    <w:p>
      <w:pPr>
        <w:spacing w:line="360" w:lineRule="auto"/>
        <w:ind w:firstLine="361" w:firstLineChars="150"/>
        <w:jc w:val="left"/>
        <w:rPr>
          <w:rFonts w:cs="Arial"/>
          <w:b/>
          <w:bCs/>
          <w:color w:val="FF0000"/>
          <w:sz w:val="24"/>
        </w:rPr>
      </w:pPr>
    </w:p>
    <w:p>
      <w:pPr>
        <w:spacing w:line="360" w:lineRule="auto"/>
        <w:jc w:val="left"/>
        <w:rPr>
          <w:rFonts w:cs="Arial"/>
          <w:color w:val="FF0000"/>
          <w:sz w:val="24"/>
          <w:lang w:val="sq-AL"/>
        </w:rPr>
      </w:pPr>
    </w:p>
    <w:p>
      <w:pPr>
        <w:spacing w:line="360" w:lineRule="auto"/>
        <w:jc w:val="left"/>
        <w:rPr>
          <w:rFonts w:cs="Arial"/>
          <w:sz w:val="24"/>
          <w:lang w:val="sq-AL"/>
        </w:rPr>
      </w:pPr>
    </w:p>
    <w:p>
      <w:pPr>
        <w:spacing w:line="360" w:lineRule="auto"/>
        <w:ind w:firstLine="360" w:firstLineChars="150"/>
        <w:jc w:val="left"/>
        <w:rPr>
          <w:rFonts w:cs="Arial"/>
          <w:sz w:val="24"/>
          <w:lang w:val="sq-AL"/>
        </w:rPr>
      </w:pPr>
      <w:r>
        <w:rPr>
          <w:rFonts w:cs="Arial"/>
          <w:sz w:val="24"/>
          <w:lang w:val="sq-AL"/>
        </w:rPr>
        <w:t>承诺单位（盖章）       法定代表人（亲笔签字）</w:t>
      </w:r>
    </w:p>
    <w:p>
      <w:pPr>
        <w:spacing w:line="360" w:lineRule="auto"/>
        <w:ind w:firstLine="360" w:firstLineChars="150"/>
        <w:jc w:val="left"/>
        <w:rPr>
          <w:rFonts w:cs="Arial"/>
          <w:sz w:val="24"/>
          <w:lang w:val="sq-AL"/>
        </w:rPr>
      </w:pPr>
      <w:r>
        <w:rPr>
          <w:rFonts w:cs="Arial"/>
          <w:sz w:val="24"/>
          <w:lang w:val="sq-AL"/>
        </w:rPr>
        <w:t xml:space="preserve">联系电话（手机号码）：                              </w:t>
      </w:r>
    </w:p>
    <w:p>
      <w:pPr>
        <w:spacing w:line="360" w:lineRule="auto"/>
        <w:ind w:firstLine="600" w:firstLineChars="250"/>
        <w:jc w:val="left"/>
        <w:rPr>
          <w:rFonts w:cs="Arial"/>
          <w:sz w:val="24"/>
          <w:lang w:val="sq-AL"/>
        </w:rPr>
      </w:pPr>
      <w:r>
        <w:rPr>
          <w:rFonts w:cs="Arial"/>
          <w:sz w:val="24"/>
          <w:lang w:val="sq-AL"/>
        </w:rPr>
        <w:t>年   月   日</w:t>
      </w:r>
    </w:p>
    <w:p>
      <w:pPr>
        <w:spacing w:line="360" w:lineRule="auto"/>
        <w:jc w:val="left"/>
        <w:rPr>
          <w:rFonts w:cs="Arial"/>
          <w:b/>
          <w:sz w:val="24"/>
          <w:lang w:val="sq-AL"/>
        </w:rPr>
      </w:pPr>
    </w:p>
    <w:p>
      <w:pPr>
        <w:spacing w:line="360" w:lineRule="auto"/>
        <w:jc w:val="left"/>
        <w:rPr>
          <w:rFonts w:cs="Arial"/>
          <w:b/>
          <w:sz w:val="24"/>
          <w:lang w:val="sq-AL"/>
        </w:rPr>
      </w:pPr>
      <w:r>
        <w:rPr>
          <w:rFonts w:hint="eastAsia" w:cs="Arial"/>
          <w:b/>
          <w:sz w:val="24"/>
          <w:lang w:val="sq-AL"/>
        </w:rPr>
        <w:t>（开标时，由投标人的法定代表人（或授权委托代理人）单独携带一份原件现场递交招标人查验）</w:t>
      </w:r>
    </w:p>
    <w:p/>
    <w:p>
      <w:pPr>
        <w:rPr>
          <w:lang w:val="sq-AL"/>
        </w:rPr>
      </w:pPr>
    </w:p>
    <w:p>
      <w:pPr>
        <w:rPr>
          <w:lang w:val="sq-AL"/>
        </w:rPr>
      </w:pPr>
    </w:p>
    <w:p>
      <w:pPr>
        <w:rPr>
          <w:lang w:val="sq-AL"/>
        </w:rPr>
      </w:pPr>
    </w:p>
    <w:p>
      <w:pPr>
        <w:pStyle w:val="3"/>
        <w:numPr>
          <w:ilvl w:val="1"/>
          <w:numId w:val="0"/>
        </w:numPr>
        <w:spacing w:line="600" w:lineRule="exact"/>
        <w:jc w:val="center"/>
        <w:rPr>
          <w:rFonts w:ascii="宋体" w:hAnsi="宋体" w:eastAsia="宋体"/>
          <w:bCs w:val="0"/>
          <w:kern w:val="32"/>
          <w:sz w:val="24"/>
        </w:rPr>
      </w:pPr>
      <w:r>
        <w:rPr>
          <w:rFonts w:ascii="宋体" w:hAnsi="宋体" w:eastAsia="宋体"/>
          <w:w w:val="100"/>
          <w:kern w:val="32"/>
        </w:rPr>
        <w:br w:type="page"/>
      </w:r>
      <w:r>
        <w:rPr>
          <w:rFonts w:hint="eastAsia" w:ascii="宋体" w:hAnsi="宋体" w:eastAsia="宋体"/>
          <w:w w:val="100"/>
          <w:kern w:val="32"/>
        </w:rPr>
        <w:t>六、拟投入本项目的人员情况表</w:t>
      </w:r>
      <w:bookmarkEnd w:id="95"/>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1"/>
        <w:gridCol w:w="2054"/>
        <w:gridCol w:w="1259"/>
        <w:gridCol w:w="1204"/>
        <w:gridCol w:w="961"/>
        <w:gridCol w:w="961"/>
        <w:gridCol w:w="959"/>
        <w:gridCol w:w="11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931" w:type="dxa"/>
            <w:vMerge w:val="restart"/>
            <w:vAlign w:val="center"/>
          </w:tcPr>
          <w:p>
            <w:pPr>
              <w:jc w:val="center"/>
              <w:rPr>
                <w:kern w:val="0"/>
                <w:sz w:val="24"/>
              </w:rPr>
            </w:pPr>
            <w:r>
              <w:rPr>
                <w:rFonts w:hint="eastAsia"/>
                <w:kern w:val="0"/>
                <w:sz w:val="24"/>
              </w:rPr>
              <w:t>序号</w:t>
            </w:r>
          </w:p>
        </w:tc>
        <w:tc>
          <w:tcPr>
            <w:tcW w:w="2054" w:type="dxa"/>
            <w:vMerge w:val="restart"/>
            <w:vAlign w:val="center"/>
          </w:tcPr>
          <w:p>
            <w:pPr>
              <w:jc w:val="center"/>
              <w:rPr>
                <w:kern w:val="0"/>
                <w:sz w:val="24"/>
              </w:rPr>
            </w:pPr>
            <w:r>
              <w:rPr>
                <w:rFonts w:hint="eastAsia"/>
                <w:kern w:val="0"/>
                <w:sz w:val="24"/>
              </w:rPr>
              <w:t>部门</w:t>
            </w:r>
          </w:p>
        </w:tc>
        <w:tc>
          <w:tcPr>
            <w:tcW w:w="1259" w:type="dxa"/>
            <w:vMerge w:val="restart"/>
            <w:vAlign w:val="center"/>
          </w:tcPr>
          <w:p>
            <w:pPr>
              <w:jc w:val="center"/>
              <w:rPr>
                <w:kern w:val="0"/>
                <w:sz w:val="24"/>
              </w:rPr>
            </w:pPr>
            <w:r>
              <w:rPr>
                <w:rFonts w:hint="eastAsia"/>
                <w:kern w:val="0"/>
                <w:sz w:val="24"/>
              </w:rPr>
              <w:t>职能</w:t>
            </w:r>
          </w:p>
        </w:tc>
        <w:tc>
          <w:tcPr>
            <w:tcW w:w="5249" w:type="dxa"/>
            <w:gridSpan w:val="5"/>
            <w:vAlign w:val="center"/>
          </w:tcPr>
          <w:p>
            <w:pPr>
              <w:jc w:val="center"/>
              <w:rPr>
                <w:kern w:val="0"/>
                <w:sz w:val="24"/>
              </w:rPr>
            </w:pPr>
            <w:r>
              <w:rPr>
                <w:rFonts w:hint="eastAsia"/>
                <w:kern w:val="0"/>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6" w:hRule="atLeast"/>
          <w:jc w:val="center"/>
        </w:trPr>
        <w:tc>
          <w:tcPr>
            <w:tcW w:w="931" w:type="dxa"/>
            <w:vMerge w:val="continue"/>
          </w:tcPr>
          <w:p>
            <w:pPr>
              <w:jc w:val="center"/>
              <w:rPr>
                <w:kern w:val="0"/>
                <w:sz w:val="24"/>
              </w:rPr>
            </w:pPr>
          </w:p>
        </w:tc>
        <w:tc>
          <w:tcPr>
            <w:tcW w:w="2054" w:type="dxa"/>
            <w:vMerge w:val="continue"/>
          </w:tcPr>
          <w:p>
            <w:pPr>
              <w:jc w:val="center"/>
              <w:rPr>
                <w:kern w:val="0"/>
                <w:sz w:val="24"/>
              </w:rPr>
            </w:pPr>
          </w:p>
        </w:tc>
        <w:tc>
          <w:tcPr>
            <w:tcW w:w="1259" w:type="dxa"/>
            <w:vMerge w:val="continue"/>
          </w:tcPr>
          <w:p>
            <w:pPr>
              <w:jc w:val="center"/>
              <w:rPr>
                <w:kern w:val="0"/>
                <w:sz w:val="24"/>
              </w:rPr>
            </w:pPr>
          </w:p>
        </w:tc>
        <w:tc>
          <w:tcPr>
            <w:tcW w:w="1204" w:type="dxa"/>
            <w:vAlign w:val="center"/>
          </w:tcPr>
          <w:p>
            <w:pPr>
              <w:jc w:val="center"/>
              <w:rPr>
                <w:kern w:val="0"/>
                <w:sz w:val="24"/>
              </w:rPr>
            </w:pPr>
            <w:r>
              <w:rPr>
                <w:rFonts w:hint="eastAsia"/>
                <w:kern w:val="0"/>
                <w:sz w:val="24"/>
              </w:rPr>
              <w:t>姓名</w:t>
            </w:r>
          </w:p>
        </w:tc>
        <w:tc>
          <w:tcPr>
            <w:tcW w:w="961" w:type="dxa"/>
            <w:vAlign w:val="center"/>
          </w:tcPr>
          <w:p>
            <w:pPr>
              <w:jc w:val="center"/>
              <w:rPr>
                <w:kern w:val="0"/>
                <w:sz w:val="24"/>
              </w:rPr>
            </w:pPr>
            <w:r>
              <w:rPr>
                <w:rFonts w:hint="eastAsia"/>
                <w:kern w:val="0"/>
                <w:sz w:val="24"/>
              </w:rPr>
              <w:t>年龄</w:t>
            </w:r>
          </w:p>
        </w:tc>
        <w:tc>
          <w:tcPr>
            <w:tcW w:w="961" w:type="dxa"/>
            <w:vAlign w:val="center"/>
          </w:tcPr>
          <w:p>
            <w:pPr>
              <w:jc w:val="center"/>
              <w:rPr>
                <w:kern w:val="0"/>
                <w:sz w:val="24"/>
              </w:rPr>
            </w:pPr>
            <w:r>
              <w:rPr>
                <w:rFonts w:hint="eastAsia"/>
                <w:kern w:val="0"/>
                <w:sz w:val="24"/>
              </w:rPr>
              <w:t>文化</w:t>
            </w:r>
          </w:p>
          <w:p>
            <w:pPr>
              <w:jc w:val="center"/>
              <w:rPr>
                <w:kern w:val="0"/>
                <w:sz w:val="24"/>
              </w:rPr>
            </w:pPr>
            <w:r>
              <w:rPr>
                <w:rFonts w:hint="eastAsia"/>
                <w:kern w:val="0"/>
                <w:sz w:val="24"/>
              </w:rPr>
              <w:t>程度</w:t>
            </w:r>
          </w:p>
        </w:tc>
        <w:tc>
          <w:tcPr>
            <w:tcW w:w="959" w:type="dxa"/>
            <w:vAlign w:val="center"/>
          </w:tcPr>
          <w:p>
            <w:pPr>
              <w:jc w:val="center"/>
              <w:rPr>
                <w:kern w:val="0"/>
                <w:sz w:val="24"/>
              </w:rPr>
            </w:pPr>
            <w:r>
              <w:rPr>
                <w:rFonts w:hint="eastAsia"/>
                <w:kern w:val="0"/>
                <w:sz w:val="24"/>
              </w:rPr>
              <w:t>职称</w:t>
            </w:r>
          </w:p>
        </w:tc>
        <w:tc>
          <w:tcPr>
            <w:tcW w:w="1164" w:type="dxa"/>
            <w:vAlign w:val="center"/>
          </w:tcPr>
          <w:p>
            <w:pPr>
              <w:jc w:val="center"/>
              <w:rPr>
                <w:kern w:val="0"/>
                <w:sz w:val="24"/>
              </w:rPr>
            </w:pPr>
            <w:r>
              <w:rPr>
                <w:rFonts w:hint="eastAsia"/>
                <w:kern w:val="0"/>
                <w:sz w:val="24"/>
              </w:rPr>
              <w:t>从业</w:t>
            </w:r>
          </w:p>
          <w:p>
            <w:pPr>
              <w:jc w:val="center"/>
              <w:rPr>
                <w:kern w:val="0"/>
                <w:sz w:val="24"/>
              </w:rPr>
            </w:pPr>
            <w:r>
              <w:rPr>
                <w:rFonts w:hint="eastAsia"/>
                <w:kern w:val="0"/>
                <w:sz w:val="24"/>
              </w:rPr>
              <w:t>年限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7"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8" w:hRule="atLeast"/>
          <w:jc w:val="center"/>
        </w:trPr>
        <w:tc>
          <w:tcPr>
            <w:tcW w:w="931" w:type="dxa"/>
          </w:tcPr>
          <w:p>
            <w:pPr>
              <w:jc w:val="center"/>
              <w:rPr>
                <w:kern w:val="0"/>
              </w:rPr>
            </w:pPr>
          </w:p>
        </w:tc>
        <w:tc>
          <w:tcPr>
            <w:tcW w:w="2054" w:type="dxa"/>
          </w:tcPr>
          <w:p>
            <w:pPr>
              <w:jc w:val="center"/>
              <w:rPr>
                <w:kern w:val="0"/>
              </w:rPr>
            </w:pPr>
          </w:p>
        </w:tc>
        <w:tc>
          <w:tcPr>
            <w:tcW w:w="1259" w:type="dxa"/>
          </w:tcPr>
          <w:p>
            <w:pPr>
              <w:jc w:val="center"/>
              <w:rPr>
                <w:kern w:val="0"/>
              </w:rPr>
            </w:pPr>
          </w:p>
        </w:tc>
        <w:tc>
          <w:tcPr>
            <w:tcW w:w="1204" w:type="dxa"/>
          </w:tcPr>
          <w:p>
            <w:pPr>
              <w:jc w:val="center"/>
              <w:rPr>
                <w:kern w:val="0"/>
              </w:rPr>
            </w:pPr>
          </w:p>
        </w:tc>
        <w:tc>
          <w:tcPr>
            <w:tcW w:w="961" w:type="dxa"/>
          </w:tcPr>
          <w:p>
            <w:pPr>
              <w:jc w:val="center"/>
              <w:rPr>
                <w:kern w:val="0"/>
              </w:rPr>
            </w:pPr>
          </w:p>
        </w:tc>
        <w:tc>
          <w:tcPr>
            <w:tcW w:w="961" w:type="dxa"/>
          </w:tcPr>
          <w:p>
            <w:pPr>
              <w:jc w:val="center"/>
              <w:rPr>
                <w:kern w:val="0"/>
              </w:rPr>
            </w:pPr>
          </w:p>
        </w:tc>
        <w:tc>
          <w:tcPr>
            <w:tcW w:w="959" w:type="dxa"/>
          </w:tcPr>
          <w:p>
            <w:pPr>
              <w:jc w:val="center"/>
              <w:rPr>
                <w:kern w:val="0"/>
              </w:rPr>
            </w:pPr>
          </w:p>
        </w:tc>
        <w:tc>
          <w:tcPr>
            <w:tcW w:w="1164" w:type="dxa"/>
          </w:tcPr>
          <w:p>
            <w:pPr>
              <w:jc w:val="center"/>
              <w:rPr>
                <w:kern w:val="0"/>
              </w:rPr>
            </w:pPr>
          </w:p>
        </w:tc>
      </w:tr>
    </w:tbl>
    <w:p>
      <w:pPr>
        <w:tabs>
          <w:tab w:val="left" w:pos="0"/>
          <w:tab w:val="left" w:pos="7920"/>
        </w:tabs>
        <w:spacing w:line="360" w:lineRule="auto"/>
        <w:jc w:val="left"/>
        <w:rPr>
          <w:rFonts w:cs="Tahoma"/>
          <w:b/>
          <w:bCs/>
          <w:kern w:val="32"/>
          <w:sz w:val="24"/>
          <w:szCs w:val="32"/>
        </w:rPr>
      </w:pPr>
      <w:r>
        <w:rPr>
          <w:rFonts w:hint="eastAsia" w:cs="Tahoma"/>
          <w:b/>
          <w:bCs/>
          <w:kern w:val="32"/>
          <w:sz w:val="24"/>
          <w:szCs w:val="32"/>
        </w:rPr>
        <w:t>注：附相关证件的复印件，如身份证、资质证等。</w:t>
      </w:r>
    </w:p>
    <w:p>
      <w:pPr>
        <w:tabs>
          <w:tab w:val="left" w:pos="0"/>
          <w:tab w:val="left" w:pos="7920"/>
        </w:tabs>
        <w:spacing w:line="360" w:lineRule="auto"/>
        <w:jc w:val="center"/>
        <w:rPr>
          <w:rFonts w:cs="Tahoma"/>
          <w:b/>
          <w:bCs/>
          <w:kern w:val="32"/>
          <w:sz w:val="24"/>
          <w:szCs w:val="32"/>
        </w:rPr>
      </w:pPr>
    </w:p>
    <w:p>
      <w:pPr>
        <w:tabs>
          <w:tab w:val="left" w:pos="0"/>
          <w:tab w:val="left" w:pos="7920"/>
        </w:tabs>
        <w:spacing w:line="360" w:lineRule="auto"/>
        <w:jc w:val="center"/>
        <w:rPr>
          <w:rFonts w:cs="Tahoma"/>
          <w:b/>
          <w:bCs/>
          <w:kern w:val="32"/>
          <w:sz w:val="24"/>
          <w:szCs w:val="32"/>
        </w:rPr>
      </w:pPr>
    </w:p>
    <w:p>
      <w:pPr>
        <w:tabs>
          <w:tab w:val="left" w:pos="0"/>
          <w:tab w:val="left" w:pos="7920"/>
        </w:tabs>
        <w:spacing w:line="360" w:lineRule="auto"/>
        <w:jc w:val="center"/>
        <w:rPr>
          <w:rFonts w:cs="Tahoma"/>
          <w:b/>
          <w:bCs/>
          <w:kern w:val="32"/>
          <w:sz w:val="24"/>
          <w:szCs w:val="32"/>
        </w:rPr>
      </w:pPr>
    </w:p>
    <w:p>
      <w:pPr>
        <w:tabs>
          <w:tab w:val="left" w:pos="0"/>
          <w:tab w:val="left" w:pos="7920"/>
        </w:tabs>
        <w:spacing w:line="360" w:lineRule="auto"/>
        <w:jc w:val="center"/>
        <w:rPr>
          <w:rFonts w:cs="Tahoma"/>
          <w:b/>
          <w:bCs/>
          <w:kern w:val="32"/>
          <w:sz w:val="24"/>
          <w:szCs w:val="32"/>
        </w:rPr>
      </w:pPr>
    </w:p>
    <w:p>
      <w:pPr>
        <w:tabs>
          <w:tab w:val="left" w:pos="0"/>
          <w:tab w:val="left" w:pos="7920"/>
        </w:tabs>
        <w:spacing w:line="360" w:lineRule="auto"/>
        <w:jc w:val="center"/>
        <w:rPr>
          <w:rFonts w:cs="Tahoma"/>
          <w:b/>
          <w:bCs/>
          <w:kern w:val="32"/>
          <w:sz w:val="24"/>
          <w:szCs w:val="32"/>
        </w:rPr>
      </w:pPr>
    </w:p>
    <w:p>
      <w:pPr>
        <w:tabs>
          <w:tab w:val="left" w:pos="0"/>
          <w:tab w:val="left" w:pos="7920"/>
        </w:tabs>
        <w:spacing w:line="360" w:lineRule="auto"/>
        <w:jc w:val="center"/>
        <w:rPr>
          <w:rFonts w:cs="Tahoma"/>
          <w:b/>
          <w:bCs/>
          <w:kern w:val="32"/>
          <w:sz w:val="24"/>
          <w:szCs w:val="32"/>
        </w:rPr>
      </w:pPr>
    </w:p>
    <w:p>
      <w:pPr>
        <w:tabs>
          <w:tab w:val="left" w:pos="0"/>
          <w:tab w:val="left" w:pos="7920"/>
        </w:tabs>
        <w:spacing w:line="360" w:lineRule="auto"/>
        <w:jc w:val="center"/>
        <w:rPr>
          <w:rFonts w:cs="Tahoma"/>
          <w:b/>
          <w:bCs/>
          <w:kern w:val="32"/>
          <w:sz w:val="24"/>
          <w:szCs w:val="32"/>
        </w:rPr>
      </w:pPr>
    </w:p>
    <w:p>
      <w:pPr>
        <w:tabs>
          <w:tab w:val="left" w:pos="0"/>
          <w:tab w:val="left" w:pos="7920"/>
        </w:tabs>
        <w:spacing w:line="360" w:lineRule="auto"/>
        <w:jc w:val="center"/>
        <w:rPr>
          <w:rFonts w:cs="Tahoma"/>
          <w:b/>
          <w:bCs/>
          <w:kern w:val="32"/>
          <w:sz w:val="24"/>
          <w:szCs w:val="32"/>
        </w:rPr>
      </w:pPr>
    </w:p>
    <w:p>
      <w:pPr>
        <w:pStyle w:val="3"/>
        <w:numPr>
          <w:ilvl w:val="1"/>
          <w:numId w:val="0"/>
        </w:numPr>
        <w:spacing w:line="600" w:lineRule="exact"/>
        <w:jc w:val="center"/>
        <w:rPr>
          <w:rFonts w:ascii="宋体" w:hAnsi="宋体" w:eastAsia="宋体"/>
          <w:w w:val="100"/>
          <w:kern w:val="32"/>
        </w:rPr>
      </w:pPr>
      <w:bookmarkStart w:id="97" w:name="_Toc321052840"/>
      <w:r>
        <w:rPr>
          <w:rFonts w:hint="eastAsia" w:ascii="宋体" w:hAnsi="宋体" w:eastAsia="宋体"/>
          <w:w w:val="100"/>
          <w:kern w:val="32"/>
        </w:rPr>
        <w:t>七、</w:t>
      </w:r>
      <w:bookmarkEnd w:id="97"/>
      <w:r>
        <w:rPr>
          <w:rFonts w:hint="eastAsia" w:ascii="宋体" w:hAnsi="宋体" w:eastAsia="宋体"/>
          <w:w w:val="100"/>
          <w:kern w:val="32"/>
        </w:rPr>
        <w:t>主要项目经营业绩表</w:t>
      </w:r>
    </w:p>
    <w:p>
      <w:pPr>
        <w:spacing w:line="400" w:lineRule="exact"/>
        <w:rPr>
          <w:szCs w:val="21"/>
        </w:rPr>
      </w:pPr>
    </w:p>
    <w:tbl>
      <w:tblPr>
        <w:tblStyle w:val="3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57"/>
        <w:gridCol w:w="1687"/>
        <w:gridCol w:w="2117"/>
        <w:gridCol w:w="2157"/>
        <w:gridCol w:w="1702"/>
      </w:tblGrid>
      <w:tr>
        <w:tblPrEx>
          <w:tblCellMar>
            <w:top w:w="0" w:type="dxa"/>
            <w:left w:w="108" w:type="dxa"/>
            <w:bottom w:w="0" w:type="dxa"/>
            <w:right w:w="108" w:type="dxa"/>
          </w:tblCellMar>
        </w:tblPrEx>
        <w:trPr>
          <w:trHeight w:val="731" w:hRule="atLeast"/>
          <w:jc w:val="center"/>
        </w:trPr>
        <w:tc>
          <w:tcPr>
            <w:tcW w:w="1757" w:type="dxa"/>
            <w:vAlign w:val="center"/>
          </w:tcPr>
          <w:p>
            <w:pPr>
              <w:tabs>
                <w:tab w:val="left" w:pos="7920"/>
              </w:tabs>
              <w:spacing w:line="500" w:lineRule="exact"/>
              <w:ind w:right="15" w:rightChars="7"/>
              <w:jc w:val="center"/>
              <w:rPr>
                <w:sz w:val="24"/>
              </w:rPr>
            </w:pPr>
            <w:r>
              <w:rPr>
                <w:rFonts w:hint="eastAsia"/>
                <w:sz w:val="24"/>
              </w:rPr>
              <w:t>出租方</w:t>
            </w:r>
          </w:p>
        </w:tc>
        <w:tc>
          <w:tcPr>
            <w:tcW w:w="1687" w:type="dxa"/>
            <w:vAlign w:val="center"/>
          </w:tcPr>
          <w:p>
            <w:pPr>
              <w:tabs>
                <w:tab w:val="left" w:pos="7920"/>
              </w:tabs>
              <w:spacing w:line="500" w:lineRule="exact"/>
              <w:ind w:right="15" w:rightChars="7"/>
              <w:jc w:val="center"/>
              <w:rPr>
                <w:sz w:val="24"/>
              </w:rPr>
            </w:pPr>
            <w:r>
              <w:rPr>
                <w:rFonts w:hint="eastAsia"/>
                <w:sz w:val="24"/>
              </w:rPr>
              <w:t>项目名称</w:t>
            </w:r>
          </w:p>
        </w:tc>
        <w:tc>
          <w:tcPr>
            <w:tcW w:w="2117" w:type="dxa"/>
            <w:vAlign w:val="center"/>
          </w:tcPr>
          <w:p>
            <w:pPr>
              <w:tabs>
                <w:tab w:val="left" w:pos="7920"/>
              </w:tabs>
              <w:spacing w:line="500" w:lineRule="exact"/>
              <w:ind w:right="15" w:rightChars="7"/>
              <w:jc w:val="center"/>
              <w:rPr>
                <w:sz w:val="24"/>
              </w:rPr>
            </w:pPr>
            <w:r>
              <w:rPr>
                <w:rFonts w:hint="eastAsia"/>
                <w:sz w:val="24"/>
              </w:rPr>
              <w:t>经营规模</w:t>
            </w:r>
          </w:p>
        </w:tc>
        <w:tc>
          <w:tcPr>
            <w:tcW w:w="2157" w:type="dxa"/>
            <w:vAlign w:val="center"/>
          </w:tcPr>
          <w:p>
            <w:pPr>
              <w:tabs>
                <w:tab w:val="left" w:pos="7920"/>
              </w:tabs>
              <w:spacing w:line="500" w:lineRule="exact"/>
              <w:ind w:right="15" w:rightChars="7"/>
              <w:jc w:val="center"/>
              <w:rPr>
                <w:sz w:val="24"/>
              </w:rPr>
            </w:pPr>
            <w:r>
              <w:rPr>
                <w:rFonts w:hint="eastAsia"/>
                <w:sz w:val="24"/>
              </w:rPr>
              <w:t>经营期限</w:t>
            </w:r>
          </w:p>
        </w:tc>
        <w:tc>
          <w:tcPr>
            <w:tcW w:w="1702" w:type="dxa"/>
            <w:vAlign w:val="center"/>
          </w:tcPr>
          <w:p>
            <w:pPr>
              <w:tabs>
                <w:tab w:val="left" w:pos="7920"/>
              </w:tabs>
              <w:spacing w:line="500" w:lineRule="exact"/>
              <w:ind w:right="15" w:rightChars="7"/>
              <w:jc w:val="center"/>
              <w:rPr>
                <w:sz w:val="24"/>
              </w:rPr>
            </w:pPr>
            <w:r>
              <w:rPr>
                <w:rFonts w:hint="eastAsia"/>
                <w:sz w:val="24"/>
              </w:rPr>
              <w:t>合同价格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757" w:type="dxa"/>
          </w:tcPr>
          <w:p>
            <w:pPr>
              <w:spacing w:line="480" w:lineRule="exact"/>
            </w:pPr>
          </w:p>
        </w:tc>
        <w:tc>
          <w:tcPr>
            <w:tcW w:w="1687" w:type="dxa"/>
          </w:tcPr>
          <w:p>
            <w:pPr>
              <w:spacing w:line="480" w:lineRule="exact"/>
            </w:pPr>
          </w:p>
        </w:tc>
        <w:tc>
          <w:tcPr>
            <w:tcW w:w="2117" w:type="dxa"/>
          </w:tcPr>
          <w:p>
            <w:pPr>
              <w:rPr>
                <w:b/>
              </w:rPr>
            </w:pPr>
          </w:p>
        </w:tc>
        <w:tc>
          <w:tcPr>
            <w:tcW w:w="2157" w:type="dxa"/>
          </w:tcPr>
          <w:p>
            <w:pPr>
              <w:spacing w:line="480" w:lineRule="exact"/>
            </w:pPr>
          </w:p>
        </w:tc>
        <w:tc>
          <w:tcPr>
            <w:tcW w:w="1702" w:type="dxa"/>
          </w:tcPr>
          <w:p>
            <w:pPr>
              <w:spacing w:line="48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757" w:type="dxa"/>
          </w:tcPr>
          <w:p>
            <w:pPr>
              <w:spacing w:line="480" w:lineRule="exact"/>
            </w:pPr>
          </w:p>
        </w:tc>
        <w:tc>
          <w:tcPr>
            <w:tcW w:w="1687" w:type="dxa"/>
          </w:tcPr>
          <w:p>
            <w:pPr>
              <w:spacing w:line="480" w:lineRule="exact"/>
            </w:pPr>
          </w:p>
        </w:tc>
        <w:tc>
          <w:tcPr>
            <w:tcW w:w="2117" w:type="dxa"/>
          </w:tcPr>
          <w:p>
            <w:pPr>
              <w:spacing w:line="480" w:lineRule="exact"/>
            </w:pPr>
          </w:p>
        </w:tc>
        <w:tc>
          <w:tcPr>
            <w:tcW w:w="2157" w:type="dxa"/>
          </w:tcPr>
          <w:p>
            <w:pPr>
              <w:spacing w:line="480" w:lineRule="exact"/>
            </w:pPr>
          </w:p>
        </w:tc>
        <w:tc>
          <w:tcPr>
            <w:tcW w:w="1702" w:type="dxa"/>
          </w:tcPr>
          <w:p>
            <w:pPr>
              <w:spacing w:line="48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757" w:type="dxa"/>
          </w:tcPr>
          <w:p>
            <w:pPr>
              <w:spacing w:line="480" w:lineRule="exact"/>
            </w:pPr>
          </w:p>
        </w:tc>
        <w:tc>
          <w:tcPr>
            <w:tcW w:w="1687" w:type="dxa"/>
          </w:tcPr>
          <w:p>
            <w:pPr>
              <w:spacing w:line="480" w:lineRule="exact"/>
            </w:pPr>
          </w:p>
        </w:tc>
        <w:tc>
          <w:tcPr>
            <w:tcW w:w="2117" w:type="dxa"/>
          </w:tcPr>
          <w:p>
            <w:pPr>
              <w:spacing w:line="480" w:lineRule="exact"/>
            </w:pPr>
          </w:p>
        </w:tc>
        <w:tc>
          <w:tcPr>
            <w:tcW w:w="2157" w:type="dxa"/>
          </w:tcPr>
          <w:p>
            <w:pPr>
              <w:spacing w:line="480" w:lineRule="exact"/>
            </w:pPr>
          </w:p>
        </w:tc>
        <w:tc>
          <w:tcPr>
            <w:tcW w:w="1702" w:type="dxa"/>
          </w:tcPr>
          <w:p>
            <w:pPr>
              <w:spacing w:line="48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757" w:type="dxa"/>
          </w:tcPr>
          <w:p>
            <w:pPr>
              <w:spacing w:line="480" w:lineRule="exact"/>
            </w:pPr>
          </w:p>
        </w:tc>
        <w:tc>
          <w:tcPr>
            <w:tcW w:w="1687" w:type="dxa"/>
          </w:tcPr>
          <w:p>
            <w:pPr>
              <w:spacing w:line="480" w:lineRule="exact"/>
            </w:pPr>
          </w:p>
        </w:tc>
        <w:tc>
          <w:tcPr>
            <w:tcW w:w="2117" w:type="dxa"/>
          </w:tcPr>
          <w:p>
            <w:pPr>
              <w:spacing w:line="480" w:lineRule="exact"/>
            </w:pPr>
          </w:p>
        </w:tc>
        <w:tc>
          <w:tcPr>
            <w:tcW w:w="2157" w:type="dxa"/>
          </w:tcPr>
          <w:p>
            <w:pPr>
              <w:spacing w:line="480" w:lineRule="exact"/>
            </w:pPr>
          </w:p>
        </w:tc>
        <w:tc>
          <w:tcPr>
            <w:tcW w:w="1702" w:type="dxa"/>
          </w:tcPr>
          <w:p>
            <w:pPr>
              <w:spacing w:line="48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757" w:type="dxa"/>
          </w:tcPr>
          <w:p>
            <w:pPr>
              <w:spacing w:line="480" w:lineRule="exact"/>
            </w:pPr>
          </w:p>
        </w:tc>
        <w:tc>
          <w:tcPr>
            <w:tcW w:w="1687" w:type="dxa"/>
          </w:tcPr>
          <w:p>
            <w:pPr>
              <w:spacing w:line="480" w:lineRule="exact"/>
            </w:pPr>
          </w:p>
        </w:tc>
        <w:tc>
          <w:tcPr>
            <w:tcW w:w="2117" w:type="dxa"/>
          </w:tcPr>
          <w:p>
            <w:pPr>
              <w:spacing w:line="480" w:lineRule="exact"/>
            </w:pPr>
          </w:p>
        </w:tc>
        <w:tc>
          <w:tcPr>
            <w:tcW w:w="2157" w:type="dxa"/>
          </w:tcPr>
          <w:p>
            <w:pPr>
              <w:spacing w:line="480" w:lineRule="exact"/>
            </w:pPr>
          </w:p>
        </w:tc>
        <w:tc>
          <w:tcPr>
            <w:tcW w:w="1702" w:type="dxa"/>
          </w:tcPr>
          <w:p>
            <w:pPr>
              <w:spacing w:line="48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1757" w:type="dxa"/>
          </w:tcPr>
          <w:p>
            <w:pPr>
              <w:spacing w:line="480" w:lineRule="exact"/>
            </w:pPr>
          </w:p>
        </w:tc>
        <w:tc>
          <w:tcPr>
            <w:tcW w:w="1687" w:type="dxa"/>
          </w:tcPr>
          <w:p>
            <w:pPr>
              <w:spacing w:line="480" w:lineRule="exact"/>
            </w:pPr>
          </w:p>
        </w:tc>
        <w:tc>
          <w:tcPr>
            <w:tcW w:w="2117" w:type="dxa"/>
          </w:tcPr>
          <w:p>
            <w:pPr>
              <w:spacing w:line="480" w:lineRule="exact"/>
            </w:pPr>
          </w:p>
        </w:tc>
        <w:tc>
          <w:tcPr>
            <w:tcW w:w="2157" w:type="dxa"/>
          </w:tcPr>
          <w:p>
            <w:pPr>
              <w:spacing w:line="480" w:lineRule="exact"/>
            </w:pPr>
          </w:p>
        </w:tc>
        <w:tc>
          <w:tcPr>
            <w:tcW w:w="1702" w:type="dxa"/>
          </w:tcPr>
          <w:p>
            <w:pPr>
              <w:spacing w:line="48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9" w:hRule="atLeast"/>
          <w:jc w:val="center"/>
        </w:trPr>
        <w:tc>
          <w:tcPr>
            <w:tcW w:w="1757" w:type="dxa"/>
          </w:tcPr>
          <w:p>
            <w:pPr>
              <w:spacing w:line="480" w:lineRule="exact"/>
            </w:pPr>
          </w:p>
        </w:tc>
        <w:tc>
          <w:tcPr>
            <w:tcW w:w="1687" w:type="dxa"/>
          </w:tcPr>
          <w:p>
            <w:pPr>
              <w:spacing w:line="480" w:lineRule="exact"/>
            </w:pPr>
          </w:p>
        </w:tc>
        <w:tc>
          <w:tcPr>
            <w:tcW w:w="2117" w:type="dxa"/>
          </w:tcPr>
          <w:p>
            <w:pPr>
              <w:spacing w:line="480" w:lineRule="exact"/>
            </w:pPr>
          </w:p>
        </w:tc>
        <w:tc>
          <w:tcPr>
            <w:tcW w:w="2157" w:type="dxa"/>
          </w:tcPr>
          <w:p>
            <w:pPr>
              <w:spacing w:line="480" w:lineRule="exact"/>
            </w:pPr>
          </w:p>
        </w:tc>
        <w:tc>
          <w:tcPr>
            <w:tcW w:w="1702" w:type="dxa"/>
          </w:tcPr>
          <w:p>
            <w:pPr>
              <w:spacing w:line="480" w:lineRule="exact"/>
            </w:pPr>
          </w:p>
        </w:tc>
      </w:tr>
    </w:tbl>
    <w:p>
      <w:pPr>
        <w:tabs>
          <w:tab w:val="left" w:pos="7920"/>
        </w:tabs>
        <w:spacing w:line="500" w:lineRule="exact"/>
        <w:ind w:left="-94" w:leftChars="-45" w:right="15" w:rightChars="7" w:firstLine="576" w:firstLineChars="240"/>
        <w:rPr>
          <w:rFonts w:asciiTheme="minorEastAsia" w:hAnsiTheme="minorEastAsia" w:eastAsiaTheme="minorEastAsia"/>
          <w:sz w:val="24"/>
        </w:rPr>
      </w:pPr>
      <w:r>
        <w:rPr>
          <w:rFonts w:hint="eastAsia" w:asciiTheme="minorEastAsia" w:hAnsiTheme="minorEastAsia" w:eastAsiaTheme="minorEastAsia"/>
          <w:sz w:val="24"/>
        </w:rPr>
        <w:t>附合同复印件、如签订合同方为投标人控股股东所在集团旗下的子公司或控股子公司需提供项目证明或授权委托文件及股权证明复印件</w:t>
      </w:r>
    </w:p>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rPr>
          <w:kern w:val="32"/>
          <w:sz w:val="24"/>
        </w:rPr>
      </w:pPr>
    </w:p>
    <w:p>
      <w:pPr>
        <w:pStyle w:val="3"/>
        <w:numPr>
          <w:ilvl w:val="1"/>
          <w:numId w:val="0"/>
        </w:numPr>
        <w:spacing w:line="600" w:lineRule="exact"/>
        <w:jc w:val="center"/>
        <w:rPr>
          <w:rFonts w:ascii="宋体" w:hAnsi="宋体" w:eastAsia="宋体"/>
          <w:w w:val="100"/>
          <w:kern w:val="32"/>
        </w:rPr>
      </w:pPr>
      <w:bookmarkStart w:id="98" w:name="_Toc321052842"/>
      <w:r>
        <w:rPr>
          <w:rFonts w:ascii="宋体" w:hAnsi="宋体" w:eastAsia="宋体"/>
          <w:w w:val="100"/>
          <w:kern w:val="32"/>
        </w:rPr>
        <w:br w:type="page"/>
      </w:r>
      <w:r>
        <w:rPr>
          <w:rFonts w:hint="eastAsia" w:ascii="宋体" w:hAnsi="宋体" w:eastAsia="宋体"/>
          <w:w w:val="100"/>
          <w:kern w:val="32"/>
        </w:rPr>
        <w:t>八、投标人资格证明文件</w:t>
      </w:r>
      <w:bookmarkEnd w:id="98"/>
    </w:p>
    <w:p>
      <w:pPr>
        <w:rPr>
          <w:kern w:val="32"/>
          <w:sz w:val="24"/>
        </w:rPr>
      </w:pPr>
    </w:p>
    <w:p>
      <w:pPr>
        <w:tabs>
          <w:tab w:val="left" w:pos="7920"/>
        </w:tabs>
        <w:spacing w:line="500" w:lineRule="exact"/>
        <w:ind w:left="-94" w:leftChars="-45" w:right="15" w:rightChars="7" w:firstLine="576" w:firstLineChars="240"/>
        <w:rPr>
          <w:rFonts w:asciiTheme="minorEastAsia" w:hAnsiTheme="minorEastAsia" w:eastAsiaTheme="minorEastAsia"/>
          <w:sz w:val="24"/>
        </w:rPr>
      </w:pPr>
      <w:r>
        <w:rPr>
          <w:rFonts w:hint="eastAsia" w:asciiTheme="minorEastAsia" w:hAnsiTheme="minorEastAsia" w:eastAsiaTheme="minorEastAsia"/>
          <w:sz w:val="24"/>
        </w:rPr>
        <w:t>（满足招标文件资格要求，包括但不限于营业执照、企业基本账户开户许可证或开户备案证明、国家企业信用系统中查询的网页截图等资料复印件）</w:t>
      </w:r>
    </w:p>
    <w:p>
      <w:pPr>
        <w:spacing w:line="400" w:lineRule="exact"/>
        <w:ind w:firstLine="470" w:firstLineChars="196"/>
        <w:rPr>
          <w:kern w:val="32"/>
          <w:sz w:val="24"/>
        </w:rPr>
      </w:pPr>
    </w:p>
    <w:p>
      <w:pPr>
        <w:jc w:val="center"/>
        <w:rPr>
          <w:rFonts w:cs="Tahoma"/>
          <w:b/>
          <w:bCs/>
          <w:kern w:val="32"/>
          <w:sz w:val="32"/>
          <w:szCs w:val="32"/>
        </w:rPr>
      </w:pPr>
      <w:bookmarkStart w:id="99" w:name="_Toc321052843"/>
      <w:r>
        <w:rPr>
          <w:rFonts w:hint="eastAsia" w:cs="Tahoma"/>
          <w:b/>
          <w:bCs/>
          <w:kern w:val="32"/>
          <w:sz w:val="32"/>
          <w:szCs w:val="32"/>
        </w:rPr>
        <w:t>九、投标人需要的其他证明资料</w:t>
      </w:r>
      <w:bookmarkEnd w:id="99"/>
    </w:p>
    <w:p>
      <w:pPr>
        <w:tabs>
          <w:tab w:val="left" w:pos="7920"/>
        </w:tabs>
        <w:spacing w:line="500" w:lineRule="exact"/>
        <w:ind w:left="-94" w:leftChars="-45" w:right="15" w:rightChars="7" w:firstLine="576" w:firstLineChars="240"/>
        <w:rPr>
          <w:sz w:val="24"/>
        </w:rPr>
      </w:pPr>
      <w:bookmarkStart w:id="100" w:name="_Toc320887584"/>
      <w:bookmarkStart w:id="101" w:name="_Toc16750"/>
      <w:bookmarkStart w:id="102" w:name="_Toc320518257"/>
      <w:r>
        <w:rPr>
          <w:rFonts w:hint="eastAsia"/>
          <w:sz w:val="24"/>
        </w:rPr>
        <w:t>投标人认为需要提交的其他证明资料，如无则可不提供</w:t>
      </w:r>
      <w:bookmarkEnd w:id="100"/>
      <w:bookmarkEnd w:id="101"/>
      <w:bookmarkEnd w:id="102"/>
    </w:p>
    <w:p/>
    <w:p/>
    <w:p>
      <w:pPr>
        <w:jc w:val="center"/>
        <w:rPr>
          <w:rFonts w:cs="Tahoma"/>
          <w:b/>
          <w:bCs/>
          <w:kern w:val="32"/>
          <w:sz w:val="32"/>
          <w:szCs w:val="32"/>
        </w:rPr>
      </w:pPr>
      <w:bookmarkStart w:id="103" w:name="_Toc321052844"/>
      <w:r>
        <w:rPr>
          <w:rFonts w:hint="eastAsia" w:cs="Tahoma"/>
          <w:b/>
          <w:bCs/>
          <w:kern w:val="32"/>
          <w:sz w:val="32"/>
          <w:szCs w:val="32"/>
        </w:rPr>
        <w:t>十、经营管理方案</w:t>
      </w:r>
      <w:bookmarkEnd w:id="96"/>
      <w:bookmarkEnd w:id="103"/>
    </w:p>
    <w:p>
      <w:pPr>
        <w:tabs>
          <w:tab w:val="left" w:pos="7920"/>
        </w:tabs>
        <w:spacing w:line="500" w:lineRule="exact"/>
        <w:ind w:left="-94" w:leftChars="-45" w:right="15" w:rightChars="7" w:firstLine="576" w:firstLineChars="240"/>
        <w:rPr>
          <w:sz w:val="24"/>
        </w:rPr>
      </w:pPr>
      <w:r>
        <w:rPr>
          <w:rFonts w:hint="eastAsia"/>
          <w:sz w:val="24"/>
        </w:rPr>
        <w:t>经营管理方案主要包括且不限于：（经营方案必须满足无污染且不会造成社会舆情）</w:t>
      </w:r>
    </w:p>
    <w:p>
      <w:pPr>
        <w:tabs>
          <w:tab w:val="left" w:pos="7920"/>
        </w:tabs>
        <w:spacing w:line="500" w:lineRule="exact"/>
        <w:ind w:left="-94" w:leftChars="-45" w:right="15" w:rightChars="7" w:firstLine="576" w:firstLineChars="240"/>
        <w:rPr>
          <w:sz w:val="24"/>
        </w:rPr>
      </w:pPr>
      <w:r>
        <w:rPr>
          <w:rFonts w:hint="eastAsia"/>
          <w:sz w:val="24"/>
        </w:rPr>
        <w:t>1、市场调研及定位规划；</w:t>
      </w:r>
    </w:p>
    <w:p>
      <w:pPr>
        <w:tabs>
          <w:tab w:val="left" w:pos="7920"/>
        </w:tabs>
        <w:spacing w:line="500" w:lineRule="exact"/>
        <w:ind w:left="-94" w:leftChars="-45" w:right="15" w:rightChars="7" w:firstLine="576" w:firstLineChars="240"/>
        <w:rPr>
          <w:sz w:val="24"/>
        </w:rPr>
      </w:pPr>
      <w:r>
        <w:rPr>
          <w:rFonts w:hint="eastAsia"/>
          <w:sz w:val="24"/>
        </w:rPr>
        <w:t>2、整体经营管理方案；</w:t>
      </w:r>
    </w:p>
    <w:p>
      <w:pPr>
        <w:tabs>
          <w:tab w:val="left" w:pos="7920"/>
        </w:tabs>
        <w:spacing w:line="500" w:lineRule="exact"/>
        <w:ind w:left="-94" w:leftChars="-45" w:right="15" w:rightChars="7" w:firstLine="576" w:firstLineChars="240"/>
        <w:rPr>
          <w:sz w:val="24"/>
        </w:rPr>
      </w:pPr>
      <w:r>
        <w:rPr>
          <w:rFonts w:hint="eastAsia"/>
          <w:sz w:val="24"/>
        </w:rPr>
        <w:t>3、项目商业管理团队及品牌落位计划；</w:t>
      </w:r>
    </w:p>
    <w:p>
      <w:pPr>
        <w:tabs>
          <w:tab w:val="left" w:pos="7920"/>
        </w:tabs>
        <w:spacing w:line="500" w:lineRule="exact"/>
        <w:ind w:left="-94" w:leftChars="-45" w:right="15" w:rightChars="7" w:firstLine="576" w:firstLineChars="240"/>
        <w:rPr>
          <w:sz w:val="24"/>
        </w:rPr>
      </w:pPr>
      <w:r>
        <w:rPr>
          <w:rFonts w:hint="eastAsia"/>
          <w:sz w:val="24"/>
        </w:rPr>
        <w:t>4、相关商业管理运营制度；</w:t>
      </w:r>
    </w:p>
    <w:p>
      <w:pPr>
        <w:jc w:val="center"/>
        <w:rPr>
          <w:rFonts w:cs="Tahoma"/>
          <w:b/>
          <w:bCs/>
          <w:kern w:val="32"/>
          <w:sz w:val="32"/>
          <w:szCs w:val="32"/>
        </w:rPr>
      </w:pPr>
    </w:p>
    <w:p>
      <w:pPr>
        <w:tabs>
          <w:tab w:val="left" w:pos="7920"/>
        </w:tabs>
        <w:spacing w:line="500" w:lineRule="exact"/>
        <w:ind w:left="-94" w:leftChars="-45" w:right="15" w:rightChars="7" w:firstLine="576" w:firstLineChars="240"/>
        <w:rPr>
          <w:sz w:val="24"/>
        </w:rPr>
      </w:pPr>
    </w:p>
    <w:p>
      <w:pPr>
        <w:tabs>
          <w:tab w:val="left" w:pos="7920"/>
        </w:tabs>
        <w:spacing w:line="500" w:lineRule="exact"/>
        <w:ind w:left="-94" w:leftChars="-45" w:right="15" w:rightChars="7" w:firstLine="576" w:firstLineChars="240"/>
        <w:rPr>
          <w:sz w:val="24"/>
        </w:rPr>
      </w:pPr>
    </w:p>
    <w:p>
      <w:pPr>
        <w:rPr>
          <w:sz w:val="24"/>
        </w:rPr>
      </w:pPr>
    </w:p>
    <w:p>
      <w:pPr>
        <w:rPr>
          <w:sz w:val="24"/>
        </w:rPr>
      </w:pPr>
    </w:p>
    <w:p/>
    <w:p/>
    <w:p/>
    <w:p/>
    <w:p/>
    <w:p/>
    <w:p/>
    <w:p/>
    <w:p>
      <w:pPr>
        <w:pStyle w:val="2"/>
        <w:spacing w:line="360" w:lineRule="auto"/>
        <w:jc w:val="center"/>
      </w:pPr>
      <w:r>
        <w:br w:type="page"/>
      </w:r>
      <w:r>
        <w:tab/>
      </w:r>
      <w:bookmarkStart w:id="104" w:name="_Toc321052846"/>
      <w:r>
        <w:rPr>
          <w:rFonts w:hint="eastAsia"/>
        </w:rPr>
        <w:t>第六章  评标办法</w:t>
      </w:r>
      <w:bookmarkEnd w:id="104"/>
    </w:p>
    <w:p>
      <w:pPr>
        <w:tabs>
          <w:tab w:val="left" w:pos="7920"/>
        </w:tabs>
        <w:spacing w:line="500" w:lineRule="exact"/>
        <w:ind w:right="15" w:rightChars="7"/>
        <w:rPr>
          <w:b/>
          <w:sz w:val="24"/>
        </w:rPr>
      </w:pPr>
      <w:bookmarkStart w:id="105" w:name="_Toc321052847"/>
      <w:r>
        <w:rPr>
          <w:rFonts w:hint="eastAsia"/>
          <w:b/>
          <w:kern w:val="32"/>
        </w:rPr>
        <w:t>一</w:t>
      </w:r>
      <w:r>
        <w:rPr>
          <w:rFonts w:hint="eastAsia"/>
          <w:b/>
          <w:sz w:val="24"/>
        </w:rPr>
        <w:t>、</w:t>
      </w:r>
      <w:bookmarkEnd w:id="105"/>
      <w:r>
        <w:rPr>
          <w:rFonts w:hint="eastAsia"/>
          <w:b/>
          <w:sz w:val="24"/>
        </w:rPr>
        <w:t>相关说明</w:t>
      </w:r>
    </w:p>
    <w:p>
      <w:pPr>
        <w:tabs>
          <w:tab w:val="left" w:pos="7920"/>
        </w:tabs>
        <w:spacing w:line="500" w:lineRule="exact"/>
        <w:ind w:left="-94" w:leftChars="-45" w:right="15" w:rightChars="7" w:firstLine="576" w:firstLineChars="240"/>
        <w:rPr>
          <w:sz w:val="24"/>
        </w:rPr>
      </w:pPr>
      <w:r>
        <w:rPr>
          <w:rFonts w:hint="eastAsia"/>
          <w:sz w:val="24"/>
        </w:rPr>
        <w:t>本次招标评标采用综合评估法；评分的主要因素是：投标报价、经营管理方案、综合实力。具体评审标准详见附件一。</w:t>
      </w:r>
    </w:p>
    <w:p>
      <w:pPr>
        <w:tabs>
          <w:tab w:val="left" w:pos="7920"/>
        </w:tabs>
        <w:spacing w:line="500" w:lineRule="exact"/>
        <w:ind w:right="15" w:rightChars="7"/>
        <w:rPr>
          <w:b/>
          <w:kern w:val="32"/>
          <w:sz w:val="24"/>
        </w:rPr>
      </w:pPr>
      <w:r>
        <w:rPr>
          <w:rFonts w:hint="eastAsia"/>
          <w:b/>
          <w:kern w:val="32"/>
          <w:sz w:val="24"/>
        </w:rPr>
        <w:t>二、评标程序</w:t>
      </w:r>
    </w:p>
    <w:p>
      <w:pPr>
        <w:tabs>
          <w:tab w:val="left" w:pos="7920"/>
        </w:tabs>
        <w:spacing w:line="500" w:lineRule="exact"/>
        <w:ind w:right="15" w:rightChars="7"/>
        <w:rPr>
          <w:b/>
          <w:kern w:val="32"/>
          <w:sz w:val="24"/>
          <w:lang w:bidi="en-US"/>
        </w:rPr>
      </w:pPr>
      <w:r>
        <w:rPr>
          <w:rFonts w:hint="eastAsia"/>
          <w:kern w:val="32"/>
          <w:sz w:val="24"/>
        </w:rPr>
        <w:t xml:space="preserve">   </w:t>
      </w:r>
      <w:r>
        <w:rPr>
          <w:rFonts w:hint="eastAsia"/>
          <w:b/>
          <w:kern w:val="32"/>
          <w:sz w:val="24"/>
        </w:rPr>
        <w:t>1、</w:t>
      </w:r>
      <w:r>
        <w:rPr>
          <w:rFonts w:hint="eastAsia"/>
          <w:b/>
          <w:kern w:val="32"/>
          <w:sz w:val="24"/>
          <w:lang w:bidi="en-US"/>
        </w:rPr>
        <w:t>初步评审</w:t>
      </w:r>
    </w:p>
    <w:p>
      <w:pPr>
        <w:tabs>
          <w:tab w:val="left" w:pos="7920"/>
        </w:tabs>
        <w:spacing w:line="500" w:lineRule="exact"/>
        <w:ind w:left="-94" w:leftChars="-45" w:right="15" w:rightChars="7" w:firstLine="576" w:firstLineChars="240"/>
        <w:rPr>
          <w:sz w:val="24"/>
        </w:rPr>
      </w:pPr>
      <w:r>
        <w:rPr>
          <w:rFonts w:hint="eastAsia"/>
          <w:sz w:val="24"/>
        </w:rPr>
        <w:t>初步审查分为资格性和符合性审查。</w:t>
      </w:r>
    </w:p>
    <w:p>
      <w:pPr>
        <w:tabs>
          <w:tab w:val="left" w:pos="7920"/>
        </w:tabs>
        <w:spacing w:line="500" w:lineRule="exact"/>
        <w:ind w:left="-94" w:leftChars="-45" w:right="15" w:rightChars="7" w:firstLine="576" w:firstLineChars="240"/>
        <w:rPr>
          <w:sz w:val="24"/>
        </w:rPr>
      </w:pPr>
      <w:r>
        <w:rPr>
          <w:rFonts w:hint="eastAsia"/>
          <w:sz w:val="24"/>
        </w:rPr>
        <w:t>（一）</w:t>
      </w:r>
      <w:r>
        <w:rPr>
          <w:sz w:val="24"/>
        </w:rPr>
        <w:t>资格性</w:t>
      </w:r>
      <w:r>
        <w:rPr>
          <w:rFonts w:hint="eastAsia"/>
          <w:sz w:val="24"/>
        </w:rPr>
        <w:t>审查，</w:t>
      </w:r>
      <w:r>
        <w:rPr>
          <w:sz w:val="24"/>
        </w:rPr>
        <w:t>确定投标</w:t>
      </w:r>
      <w:r>
        <w:rPr>
          <w:rFonts w:hint="eastAsia"/>
          <w:sz w:val="24"/>
        </w:rPr>
        <w:t>人</w:t>
      </w:r>
      <w:r>
        <w:rPr>
          <w:sz w:val="24"/>
        </w:rPr>
        <w:t>是否具备投标资格。</w:t>
      </w:r>
      <w:r>
        <w:rPr>
          <w:rFonts w:hint="eastAsia"/>
          <w:sz w:val="24"/>
        </w:rPr>
        <w:t>投标人无资格或无能力履行合同，其投标无效（★）。</w:t>
      </w:r>
    </w:p>
    <w:p>
      <w:pPr>
        <w:tabs>
          <w:tab w:val="left" w:pos="7920"/>
        </w:tabs>
        <w:spacing w:line="500" w:lineRule="exact"/>
        <w:ind w:left="-94" w:leftChars="-45" w:right="15" w:rightChars="7" w:firstLine="576" w:firstLineChars="240"/>
        <w:rPr>
          <w:sz w:val="24"/>
        </w:rPr>
      </w:pPr>
      <w:r>
        <w:rPr>
          <w:rFonts w:hint="eastAsia"/>
          <w:sz w:val="24"/>
        </w:rPr>
        <w:t>（二）</w:t>
      </w:r>
      <w:r>
        <w:rPr>
          <w:sz w:val="24"/>
        </w:rPr>
        <w:t>符合性</w:t>
      </w:r>
      <w:r>
        <w:rPr>
          <w:rFonts w:hint="eastAsia"/>
          <w:sz w:val="24"/>
        </w:rPr>
        <w:t>审查，</w:t>
      </w:r>
      <w:r>
        <w:rPr>
          <w:sz w:val="24"/>
        </w:rPr>
        <w:t>确定</w:t>
      </w:r>
      <w:r>
        <w:rPr>
          <w:rFonts w:hint="eastAsia"/>
          <w:sz w:val="24"/>
        </w:rPr>
        <w:t>投标人</w:t>
      </w:r>
      <w:r>
        <w:rPr>
          <w:sz w:val="24"/>
        </w:rPr>
        <w:t>是否对</w:t>
      </w:r>
      <w:r>
        <w:rPr>
          <w:rFonts w:hint="eastAsia"/>
          <w:sz w:val="24"/>
        </w:rPr>
        <w:t>本</w:t>
      </w:r>
      <w:r>
        <w:rPr>
          <w:sz w:val="24"/>
        </w:rPr>
        <w:t>文件的实质性要求作出响应</w:t>
      </w:r>
      <w:r>
        <w:rPr>
          <w:rFonts w:hint="eastAsia"/>
          <w:sz w:val="24"/>
        </w:rPr>
        <w:t>，实质性响应是指对本文件的规定，没有重大偏离或保留。非实质性响应的投标人将被拒绝。重大偏离或保留是指将会影响到本文件中标的清单及技术要求，或限制了招标人权力和投标人义务的规定，而纠正这些偏离将影响到其他投标人的公平竞争地位。</w:t>
      </w:r>
    </w:p>
    <w:p>
      <w:pPr>
        <w:tabs>
          <w:tab w:val="left" w:pos="7920"/>
        </w:tabs>
        <w:spacing w:line="500" w:lineRule="exact"/>
        <w:ind w:left="-94" w:leftChars="-45" w:right="15" w:rightChars="7" w:firstLine="576" w:firstLineChars="240"/>
        <w:rPr>
          <w:sz w:val="24"/>
        </w:rPr>
      </w:pPr>
      <w:r>
        <w:rPr>
          <w:rFonts w:hint="eastAsia"/>
          <w:sz w:val="24"/>
        </w:rPr>
        <w:t>（三）投标人有下列情形之一的，视为无效投标：</w:t>
      </w:r>
    </w:p>
    <w:p>
      <w:pPr>
        <w:tabs>
          <w:tab w:val="left" w:pos="7920"/>
        </w:tabs>
        <w:spacing w:line="500" w:lineRule="exact"/>
        <w:ind w:right="15" w:rightChars="7" w:firstLine="480" w:firstLineChars="200"/>
        <w:rPr>
          <w:sz w:val="24"/>
        </w:rPr>
      </w:pPr>
      <w:r>
        <w:rPr>
          <w:rFonts w:hint="eastAsia"/>
          <w:sz w:val="24"/>
        </w:rPr>
        <w:t>（1）低于投标底价报价的；</w:t>
      </w:r>
    </w:p>
    <w:p>
      <w:pPr>
        <w:tabs>
          <w:tab w:val="left" w:pos="7920"/>
        </w:tabs>
        <w:spacing w:line="500" w:lineRule="exact"/>
        <w:ind w:left="-94" w:leftChars="-45" w:right="15" w:rightChars="7" w:firstLine="576" w:firstLineChars="240"/>
        <w:rPr>
          <w:sz w:val="24"/>
        </w:rPr>
      </w:pPr>
      <w:r>
        <w:rPr>
          <w:rFonts w:hint="eastAsia"/>
          <w:sz w:val="24"/>
        </w:rPr>
        <w:t>（2）投标文件与事实不符的；</w:t>
      </w:r>
    </w:p>
    <w:p>
      <w:pPr>
        <w:tabs>
          <w:tab w:val="left" w:pos="7920"/>
        </w:tabs>
        <w:spacing w:line="500" w:lineRule="exact"/>
        <w:ind w:left="-94" w:leftChars="-45" w:right="15" w:rightChars="7" w:firstLine="576" w:firstLineChars="240"/>
        <w:rPr>
          <w:sz w:val="24"/>
        </w:rPr>
      </w:pPr>
      <w:r>
        <w:rPr>
          <w:rFonts w:hint="eastAsia"/>
          <w:sz w:val="24"/>
        </w:rPr>
        <w:t>（3）经评标委员会一致认定为重大偏离的；</w:t>
      </w:r>
    </w:p>
    <w:p>
      <w:pPr>
        <w:tabs>
          <w:tab w:val="left" w:pos="7920"/>
        </w:tabs>
        <w:spacing w:line="500" w:lineRule="exact"/>
        <w:ind w:left="-94" w:leftChars="-45" w:right="15" w:rightChars="7" w:firstLine="576" w:firstLineChars="240"/>
        <w:rPr>
          <w:sz w:val="24"/>
        </w:rPr>
      </w:pPr>
      <w:r>
        <w:rPr>
          <w:rFonts w:hint="eastAsia"/>
          <w:sz w:val="24"/>
        </w:rPr>
        <w:t>（4）不符合本招标文件中规定的其他实质性要求（标注★）的；</w:t>
      </w:r>
    </w:p>
    <w:p>
      <w:pPr>
        <w:tabs>
          <w:tab w:val="left" w:pos="7920"/>
        </w:tabs>
        <w:spacing w:line="500" w:lineRule="exact"/>
        <w:ind w:left="-94" w:leftChars="-45" w:right="15" w:rightChars="7" w:firstLine="576" w:firstLineChars="240"/>
        <w:rPr>
          <w:sz w:val="24"/>
        </w:rPr>
      </w:pPr>
      <w:r>
        <w:rPr>
          <w:rFonts w:hint="eastAsia"/>
          <w:sz w:val="24"/>
        </w:rPr>
        <w:t>（5）投标文件未按要求签字或盖章的；</w:t>
      </w:r>
    </w:p>
    <w:p>
      <w:pPr>
        <w:tabs>
          <w:tab w:val="left" w:pos="7920"/>
        </w:tabs>
        <w:spacing w:line="500" w:lineRule="exact"/>
        <w:ind w:left="-94" w:leftChars="-45" w:right="15" w:rightChars="7" w:firstLine="576" w:firstLineChars="240"/>
        <w:rPr>
          <w:sz w:val="24"/>
        </w:rPr>
      </w:pPr>
      <w:r>
        <w:rPr>
          <w:rFonts w:hint="eastAsia"/>
          <w:sz w:val="24"/>
        </w:rPr>
        <w:t>（6）未按要求提交投标保证金的；</w:t>
      </w:r>
    </w:p>
    <w:p>
      <w:pPr>
        <w:tabs>
          <w:tab w:val="left" w:pos="7920"/>
        </w:tabs>
        <w:spacing w:line="500" w:lineRule="exact"/>
        <w:ind w:left="-94" w:leftChars="-45" w:right="15" w:rightChars="7" w:firstLine="576" w:firstLineChars="240"/>
        <w:rPr>
          <w:sz w:val="24"/>
        </w:rPr>
      </w:pPr>
      <w:r>
        <w:rPr>
          <w:rFonts w:hint="eastAsia"/>
          <w:sz w:val="24"/>
        </w:rPr>
        <w:t>（7）不符合法律、法规有关规定的。</w:t>
      </w:r>
    </w:p>
    <w:p>
      <w:pPr>
        <w:tabs>
          <w:tab w:val="left" w:pos="7920"/>
        </w:tabs>
        <w:spacing w:line="500" w:lineRule="exact"/>
        <w:ind w:left="-94" w:leftChars="-45" w:right="15" w:rightChars="7" w:firstLine="576" w:firstLineChars="240"/>
        <w:rPr>
          <w:sz w:val="24"/>
        </w:rPr>
      </w:pPr>
      <w:r>
        <w:rPr>
          <w:rFonts w:hint="eastAsia"/>
          <w:sz w:val="24"/>
        </w:rPr>
        <w:t>（四）出现下列情形之一的，本项目作废标处理，重新组织招标：</w:t>
      </w:r>
    </w:p>
    <w:p>
      <w:pPr>
        <w:tabs>
          <w:tab w:val="left" w:pos="7920"/>
        </w:tabs>
        <w:spacing w:line="500" w:lineRule="exact"/>
        <w:ind w:left="-94" w:leftChars="-45" w:right="15" w:rightChars="7" w:firstLine="576" w:firstLineChars="240"/>
        <w:rPr>
          <w:sz w:val="24"/>
        </w:rPr>
      </w:pPr>
      <w:r>
        <w:rPr>
          <w:rFonts w:hint="eastAsia"/>
          <w:sz w:val="24"/>
        </w:rPr>
        <w:t xml:space="preserve"> 符合条件的投标人或者对招标文件作实质响应的投标人不足三家的且评标委员会认为不具备竞争性的；</w:t>
      </w:r>
    </w:p>
    <w:p>
      <w:pPr>
        <w:tabs>
          <w:tab w:val="left" w:pos="7920"/>
        </w:tabs>
        <w:spacing w:line="500" w:lineRule="exact"/>
        <w:ind w:left="-94" w:leftChars="-45" w:right="15" w:rightChars="7" w:firstLine="576" w:firstLineChars="240"/>
        <w:rPr>
          <w:sz w:val="24"/>
        </w:rPr>
      </w:pPr>
      <w:r>
        <w:rPr>
          <w:rFonts w:hint="eastAsia"/>
          <w:sz w:val="24"/>
        </w:rPr>
        <w:t>（五）对资格性符合性审查合格的投标人进行咨询与答复。</w:t>
      </w:r>
    </w:p>
    <w:p>
      <w:pPr>
        <w:tabs>
          <w:tab w:val="left" w:pos="7920"/>
        </w:tabs>
        <w:spacing w:line="500" w:lineRule="exact"/>
        <w:ind w:left="-94" w:leftChars="-45" w:right="15" w:rightChars="7" w:firstLine="576" w:firstLineChars="240"/>
        <w:rPr>
          <w:sz w:val="24"/>
        </w:rPr>
      </w:pPr>
      <w:r>
        <w:rPr>
          <w:rFonts w:hint="eastAsia"/>
          <w:sz w:val="24"/>
        </w:rPr>
        <w:t>（1）对投标文件中含义不明确、同类问题表述不一致或者有明显文字和计算错误的内容，评委会可以书面形式进行咨询。</w:t>
      </w:r>
    </w:p>
    <w:p>
      <w:pPr>
        <w:tabs>
          <w:tab w:val="left" w:pos="7920"/>
        </w:tabs>
        <w:spacing w:line="500" w:lineRule="exact"/>
        <w:ind w:left="-94" w:leftChars="-45" w:right="15" w:rightChars="7" w:firstLine="576" w:firstLineChars="240"/>
        <w:rPr>
          <w:sz w:val="24"/>
        </w:rPr>
      </w:pPr>
      <w:r>
        <w:rPr>
          <w:rFonts w:hint="eastAsia"/>
          <w:sz w:val="24"/>
        </w:rPr>
        <w:t>（2）评委阅读招标文件、投标书，各自独立记录通过审查的各投标书情况，分别提出需咨询的问题。主任评委汇总整理形成书面咨询问题，发给投标人。</w:t>
      </w:r>
    </w:p>
    <w:p>
      <w:pPr>
        <w:tabs>
          <w:tab w:val="left" w:pos="7920"/>
        </w:tabs>
        <w:spacing w:line="500" w:lineRule="exact"/>
        <w:ind w:left="-94" w:leftChars="-45" w:right="15" w:rightChars="7" w:firstLine="576" w:firstLineChars="240"/>
        <w:rPr>
          <w:sz w:val="24"/>
        </w:rPr>
      </w:pPr>
      <w:r>
        <w:rPr>
          <w:rFonts w:hint="eastAsia"/>
          <w:sz w:val="24"/>
        </w:rPr>
        <w:t>（3）投标人对咨询事项作出书面答复，按规定时间报评委会。投标人的答复不得超出投标书的范围或者改变投标书的实质性内容。</w:t>
      </w:r>
    </w:p>
    <w:p>
      <w:pPr>
        <w:tabs>
          <w:tab w:val="left" w:pos="7920"/>
        </w:tabs>
        <w:spacing w:line="500" w:lineRule="exact"/>
        <w:ind w:right="15" w:rightChars="7" w:firstLine="472" w:firstLineChars="196"/>
        <w:rPr>
          <w:b/>
          <w:kern w:val="32"/>
          <w:sz w:val="24"/>
        </w:rPr>
      </w:pPr>
      <w:r>
        <w:rPr>
          <w:rFonts w:hint="eastAsia"/>
          <w:b/>
          <w:kern w:val="32"/>
          <w:sz w:val="24"/>
        </w:rPr>
        <w:t>2、详细评审</w:t>
      </w:r>
    </w:p>
    <w:p>
      <w:pPr>
        <w:tabs>
          <w:tab w:val="left" w:pos="7920"/>
        </w:tabs>
        <w:spacing w:line="500" w:lineRule="exact"/>
        <w:ind w:right="15" w:rightChars="7" w:firstLine="480" w:firstLineChars="200"/>
        <w:rPr>
          <w:kern w:val="32"/>
          <w:sz w:val="24"/>
          <w:lang w:bidi="en-US"/>
        </w:rPr>
      </w:pPr>
      <w:r>
        <w:rPr>
          <w:rFonts w:hint="eastAsia"/>
          <w:kern w:val="32"/>
          <w:sz w:val="24"/>
          <w:lang w:bidi="en-US"/>
        </w:rPr>
        <w:t>2.1评标委员会按照评标办法规定的量化因素和分值进行打分，并计算出综合评估得分。</w:t>
      </w:r>
    </w:p>
    <w:p>
      <w:pPr>
        <w:tabs>
          <w:tab w:val="left" w:pos="7920"/>
        </w:tabs>
        <w:spacing w:line="500" w:lineRule="exact"/>
        <w:ind w:right="15" w:rightChars="7" w:firstLine="480" w:firstLineChars="200"/>
        <w:rPr>
          <w:kern w:val="32"/>
          <w:sz w:val="24"/>
        </w:rPr>
      </w:pPr>
      <w:r>
        <w:rPr>
          <w:rFonts w:hint="eastAsia"/>
          <w:kern w:val="32"/>
          <w:sz w:val="24"/>
          <w:lang w:bidi="en-US"/>
        </w:rPr>
        <w:t>2.2评分分值计算保留小数点后两位，小数点后第三位“四舍五入”。</w:t>
      </w:r>
    </w:p>
    <w:p>
      <w:pPr>
        <w:tabs>
          <w:tab w:val="left" w:pos="7920"/>
        </w:tabs>
        <w:spacing w:line="500" w:lineRule="exact"/>
        <w:ind w:right="15" w:rightChars="7" w:firstLine="482" w:firstLineChars="200"/>
        <w:rPr>
          <w:rFonts w:cs="Tahoma"/>
          <w:b/>
          <w:bCs/>
          <w:kern w:val="32"/>
          <w:sz w:val="24"/>
          <w:lang w:bidi="en-US"/>
        </w:rPr>
      </w:pPr>
      <w:r>
        <w:rPr>
          <w:rFonts w:hint="eastAsia" w:cs="Tahoma"/>
          <w:b/>
          <w:bCs/>
          <w:kern w:val="32"/>
          <w:sz w:val="24"/>
          <w:lang w:bidi="en-US"/>
        </w:rPr>
        <w:t>3、投标文件的澄清、说明或补正</w:t>
      </w:r>
    </w:p>
    <w:p>
      <w:pPr>
        <w:tabs>
          <w:tab w:val="left" w:pos="7920"/>
        </w:tabs>
        <w:spacing w:line="500" w:lineRule="exact"/>
        <w:ind w:left="-94" w:leftChars="-45" w:right="15" w:rightChars="7" w:firstLine="576" w:firstLineChars="240"/>
        <w:rPr>
          <w:rFonts w:cs="Tahoma"/>
          <w:bCs/>
          <w:kern w:val="32"/>
          <w:sz w:val="24"/>
          <w:lang w:bidi="en-US"/>
        </w:rPr>
      </w:pPr>
      <w:r>
        <w:rPr>
          <w:rFonts w:hint="eastAsia" w:cs="Tahoma"/>
          <w:bCs/>
          <w:kern w:val="32"/>
          <w:sz w:val="24"/>
          <w:lang w:bidi="en-US"/>
        </w:rPr>
        <w:t>3.1 在评标过程中，评标委员会可以书面形式要求投标人对所提交投标文件中不明确的内容进行书面澄清或说明，或者对细微偏差进行补正。评标委员会不接受投标人主动提出的澄清、说明或补正。</w:t>
      </w:r>
    </w:p>
    <w:p>
      <w:pPr>
        <w:tabs>
          <w:tab w:val="left" w:pos="7920"/>
        </w:tabs>
        <w:spacing w:line="500" w:lineRule="exact"/>
        <w:ind w:left="-94" w:leftChars="-45" w:right="15" w:rightChars="7" w:firstLine="576" w:firstLineChars="240"/>
        <w:rPr>
          <w:rFonts w:cs="Tahoma"/>
          <w:bCs/>
          <w:kern w:val="32"/>
          <w:sz w:val="24"/>
          <w:lang w:bidi="en-US"/>
        </w:rPr>
      </w:pPr>
      <w:r>
        <w:rPr>
          <w:rFonts w:hint="eastAsia" w:cs="Tahoma"/>
          <w:bCs/>
          <w:kern w:val="32"/>
          <w:sz w:val="24"/>
          <w:lang w:bidi="en-US"/>
        </w:rPr>
        <w:t>3.2 澄清、说明和补正不得改变投标文件的实质性内容（算术性错误修正的除外）。投标人的书面澄清、说明和补正属于投标文件的组成部分。</w:t>
      </w:r>
    </w:p>
    <w:p>
      <w:pPr>
        <w:tabs>
          <w:tab w:val="left" w:pos="7920"/>
        </w:tabs>
        <w:spacing w:line="500" w:lineRule="exact"/>
        <w:ind w:right="15" w:rightChars="7" w:firstLine="480" w:firstLineChars="200"/>
        <w:rPr>
          <w:kern w:val="32"/>
          <w:sz w:val="24"/>
          <w:lang w:bidi="en-US"/>
        </w:rPr>
      </w:pPr>
      <w:r>
        <w:rPr>
          <w:rFonts w:hint="eastAsia"/>
          <w:kern w:val="32"/>
          <w:sz w:val="24"/>
          <w:lang w:bidi="en-US"/>
        </w:rPr>
        <w:t>3.3 评标委员会对投标人提交的澄清、说明或补正有疑问的，可以要求投标人进一步澄清、说明或补正，直至满足评标委员会的要求。</w:t>
      </w:r>
    </w:p>
    <w:p>
      <w:pPr>
        <w:tabs>
          <w:tab w:val="left" w:pos="7920"/>
        </w:tabs>
        <w:spacing w:line="500" w:lineRule="exact"/>
        <w:ind w:right="15" w:rightChars="7" w:firstLine="482" w:firstLineChars="200"/>
        <w:rPr>
          <w:b/>
          <w:kern w:val="32"/>
          <w:sz w:val="24"/>
          <w:lang w:bidi="en-US"/>
        </w:rPr>
      </w:pPr>
      <w:r>
        <w:rPr>
          <w:rFonts w:hint="eastAsia"/>
          <w:b/>
          <w:kern w:val="32"/>
          <w:sz w:val="24"/>
          <w:lang w:bidi="en-US"/>
        </w:rPr>
        <w:t>4、评标结果</w:t>
      </w:r>
    </w:p>
    <w:p>
      <w:pPr>
        <w:tabs>
          <w:tab w:val="left" w:pos="7920"/>
        </w:tabs>
        <w:spacing w:line="500" w:lineRule="exact"/>
        <w:ind w:right="15" w:rightChars="7" w:firstLine="480" w:firstLineChars="200"/>
        <w:rPr>
          <w:kern w:val="32"/>
          <w:sz w:val="24"/>
          <w:lang w:bidi="en-US"/>
        </w:rPr>
      </w:pPr>
      <w:r>
        <w:rPr>
          <w:rFonts w:hint="eastAsia"/>
          <w:kern w:val="32"/>
          <w:sz w:val="24"/>
          <w:lang w:bidi="en-US"/>
        </w:rPr>
        <w:t>评标委</w:t>
      </w:r>
      <w:r>
        <w:rPr>
          <w:kern w:val="32"/>
          <w:sz w:val="24"/>
          <w:lang w:bidi="en-US"/>
        </w:rPr>
        <w:t>员会应当根据详细评审的结果对投标人进行排序，2个及以上投标人综合得分相同时，按照其投标报价</w:t>
      </w:r>
      <w:r>
        <w:rPr>
          <w:rFonts w:hint="eastAsia"/>
          <w:kern w:val="32"/>
          <w:sz w:val="24"/>
          <w:lang w:bidi="en-US"/>
        </w:rPr>
        <w:t>总得分从高至低</w:t>
      </w:r>
      <w:r>
        <w:rPr>
          <w:kern w:val="32"/>
          <w:sz w:val="24"/>
          <w:lang w:bidi="en-US"/>
        </w:rPr>
        <w:t>顺序进行排序。由评标委员会推荐中标候选人，按照投标人排序推荐</w:t>
      </w:r>
      <w:r>
        <w:rPr>
          <w:rFonts w:hint="eastAsia"/>
          <w:kern w:val="32"/>
          <w:sz w:val="24"/>
          <w:lang w:bidi="en-US"/>
        </w:rPr>
        <w:t>1-</w:t>
      </w:r>
      <w:r>
        <w:rPr>
          <w:kern w:val="32"/>
          <w:sz w:val="24"/>
          <w:lang w:bidi="en-US"/>
        </w:rPr>
        <w:t xml:space="preserve">3 </w:t>
      </w:r>
      <w:r>
        <w:rPr>
          <w:rFonts w:hint="eastAsia"/>
          <w:kern w:val="32"/>
          <w:sz w:val="24"/>
          <w:lang w:bidi="en-US"/>
        </w:rPr>
        <w:t>名</w:t>
      </w:r>
      <w:r>
        <w:rPr>
          <w:kern w:val="32"/>
          <w:sz w:val="24"/>
          <w:lang w:bidi="en-US"/>
        </w:rPr>
        <w:t>中标候选人，并向招标人提交书面评标报告。</w:t>
      </w:r>
    </w:p>
    <w:p>
      <w:pPr>
        <w:tabs>
          <w:tab w:val="left" w:pos="7920"/>
        </w:tabs>
        <w:spacing w:line="500" w:lineRule="exact"/>
        <w:ind w:right="15" w:rightChars="7" w:firstLine="480" w:firstLineChars="200"/>
        <w:rPr>
          <w:kern w:val="32"/>
          <w:sz w:val="24"/>
          <w:lang w:bidi="en-US"/>
        </w:rPr>
      </w:pPr>
    </w:p>
    <w:p>
      <w:pPr>
        <w:tabs>
          <w:tab w:val="left" w:pos="7920"/>
        </w:tabs>
        <w:spacing w:line="500" w:lineRule="exact"/>
        <w:ind w:right="15" w:rightChars="7" w:firstLine="480" w:firstLineChars="200"/>
        <w:rPr>
          <w:kern w:val="32"/>
          <w:sz w:val="24"/>
          <w:lang w:bidi="en-US"/>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ind w:firstLine="120" w:firstLineChars="50"/>
        <w:rPr>
          <w:rFonts w:cs="Tahoma"/>
          <w:b/>
          <w:bCs/>
          <w:kern w:val="32"/>
          <w:sz w:val="24"/>
        </w:rPr>
      </w:pPr>
    </w:p>
    <w:p>
      <w:pPr>
        <w:rPr>
          <w:rFonts w:cs="Tahoma"/>
          <w:b/>
          <w:bCs/>
          <w:kern w:val="32"/>
          <w:sz w:val="24"/>
        </w:rPr>
      </w:pPr>
      <w:r>
        <w:rPr>
          <w:rFonts w:hint="eastAsia" w:cs="Tahoma"/>
          <w:b/>
          <w:bCs/>
          <w:kern w:val="32"/>
          <w:sz w:val="24"/>
        </w:rPr>
        <w:t>附件一：</w:t>
      </w:r>
    </w:p>
    <w:tbl>
      <w:tblPr>
        <w:tblStyle w:val="33"/>
        <w:tblW w:w="10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452"/>
        <w:gridCol w:w="1334"/>
        <w:gridCol w:w="894"/>
        <w:gridCol w:w="6193"/>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序号</w:t>
            </w:r>
          </w:p>
        </w:tc>
        <w:tc>
          <w:tcPr>
            <w:tcW w:w="1786" w:type="dxa"/>
            <w:gridSpan w:val="2"/>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评分因素</w:t>
            </w:r>
          </w:p>
        </w:tc>
        <w:tc>
          <w:tcPr>
            <w:tcW w:w="894" w:type="dxa"/>
            <w:vAlign w:val="center"/>
          </w:tcPr>
          <w:p>
            <w:pPr>
              <w:spacing w:after="120" w:afterLines="50" w:line="276" w:lineRule="auto"/>
              <w:jc w:val="center"/>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权重分值</w:t>
            </w:r>
          </w:p>
        </w:tc>
        <w:tc>
          <w:tcPr>
            <w:tcW w:w="6193"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评分标准</w:t>
            </w:r>
          </w:p>
        </w:tc>
        <w:tc>
          <w:tcPr>
            <w:tcW w:w="709"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1</w:t>
            </w:r>
          </w:p>
        </w:tc>
        <w:tc>
          <w:tcPr>
            <w:tcW w:w="1786" w:type="dxa"/>
            <w:gridSpan w:val="2"/>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商务报价</w:t>
            </w:r>
          </w:p>
        </w:tc>
        <w:tc>
          <w:tcPr>
            <w:tcW w:w="89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40分</w:t>
            </w:r>
          </w:p>
        </w:tc>
        <w:tc>
          <w:tcPr>
            <w:tcW w:w="6193" w:type="dxa"/>
            <w:vAlign w:val="center"/>
          </w:tcPr>
          <w:p>
            <w:pPr>
              <w:spacing w:after="120" w:afterLines="50" w:line="276" w:lineRule="auto"/>
              <w:outlineLvl w:val="0"/>
              <w:rPr>
                <w:rFonts w:cs="宋体" w:asciiTheme="minorEastAsia" w:hAnsiTheme="minorEastAsia" w:eastAsiaTheme="minorEastAsia"/>
                <w:sz w:val="24"/>
                <w:u w:color="000000"/>
              </w:rPr>
            </w:pPr>
            <w:r>
              <w:rPr>
                <w:rFonts w:hint="eastAsia" w:asciiTheme="minorEastAsia" w:hAnsiTheme="minorEastAsia" w:eastAsiaTheme="minorEastAsia"/>
                <w:sz w:val="24"/>
              </w:rPr>
              <w:t>以经评委会一致认定满足招标文件要求且投标价格最高的投标报价为评标基准价，其价格计分计40分。其他投标人的价格计分统一按公式计算：报价计分＝投标报价÷评标基准价×40</w:t>
            </w:r>
          </w:p>
        </w:tc>
        <w:tc>
          <w:tcPr>
            <w:tcW w:w="709" w:type="dxa"/>
            <w:vAlign w:val="center"/>
          </w:tcPr>
          <w:p>
            <w:pPr>
              <w:spacing w:after="120" w:afterLines="50" w:line="276" w:lineRule="auto"/>
              <w:outlineLvl w:val="0"/>
              <w:rPr>
                <w:rFonts w:asciiTheme="minorEastAsia" w:hAnsiTheme="minorEastAsia" w:eastAsiaTheme="minorEastAsia"/>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vMerge w:val="restart"/>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2</w:t>
            </w:r>
          </w:p>
        </w:tc>
        <w:tc>
          <w:tcPr>
            <w:tcW w:w="452" w:type="dxa"/>
            <w:vMerge w:val="restart"/>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经营方案</w:t>
            </w:r>
          </w:p>
        </w:tc>
        <w:tc>
          <w:tcPr>
            <w:tcW w:w="133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定位研究</w:t>
            </w:r>
          </w:p>
        </w:tc>
        <w:tc>
          <w:tcPr>
            <w:tcW w:w="89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10分</w:t>
            </w:r>
          </w:p>
        </w:tc>
        <w:tc>
          <w:tcPr>
            <w:tcW w:w="6193"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项目有充分的市场调研数据计0-5分，项目的定位规划和招商理念符合商业综合体的模式计0-5分。</w:t>
            </w:r>
          </w:p>
        </w:tc>
        <w:tc>
          <w:tcPr>
            <w:tcW w:w="709" w:type="dxa"/>
            <w:vAlign w:val="center"/>
          </w:tcPr>
          <w:p>
            <w:pPr>
              <w:spacing w:after="120" w:afterLines="50" w:line="276" w:lineRule="auto"/>
              <w:outlineLvl w:val="0"/>
              <w:rPr>
                <w:rFonts w:asciiTheme="minorEastAsia" w:hAnsiTheme="minorEastAsia" w:eastAsiaTheme="minorEastAsia"/>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vMerge w:val="continue"/>
            <w:vAlign w:val="center"/>
          </w:tcPr>
          <w:p>
            <w:pPr>
              <w:spacing w:after="120" w:afterLines="50" w:line="276" w:lineRule="auto"/>
              <w:outlineLvl w:val="0"/>
              <w:rPr>
                <w:rFonts w:asciiTheme="minorEastAsia" w:hAnsiTheme="minorEastAsia" w:eastAsiaTheme="minorEastAsia"/>
                <w:sz w:val="24"/>
                <w:u w:color="000000"/>
              </w:rPr>
            </w:pPr>
          </w:p>
        </w:tc>
        <w:tc>
          <w:tcPr>
            <w:tcW w:w="452" w:type="dxa"/>
            <w:vMerge w:val="continue"/>
            <w:vAlign w:val="center"/>
          </w:tcPr>
          <w:p>
            <w:pPr>
              <w:spacing w:after="120" w:afterLines="50" w:line="276" w:lineRule="auto"/>
              <w:outlineLvl w:val="0"/>
              <w:rPr>
                <w:rFonts w:asciiTheme="minorEastAsia" w:hAnsiTheme="minorEastAsia" w:eastAsiaTheme="minorEastAsia"/>
                <w:sz w:val="24"/>
                <w:u w:color="000000"/>
              </w:rPr>
            </w:pPr>
          </w:p>
        </w:tc>
        <w:tc>
          <w:tcPr>
            <w:tcW w:w="133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管理模式</w:t>
            </w:r>
          </w:p>
        </w:tc>
        <w:tc>
          <w:tcPr>
            <w:tcW w:w="89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5分</w:t>
            </w:r>
          </w:p>
        </w:tc>
        <w:tc>
          <w:tcPr>
            <w:tcW w:w="6193"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公司具备成熟的管理团队计0-2分，方案具备完善的商业管理制度计0-3分</w:t>
            </w:r>
          </w:p>
        </w:tc>
        <w:tc>
          <w:tcPr>
            <w:tcW w:w="709" w:type="dxa"/>
            <w:vAlign w:val="center"/>
          </w:tcPr>
          <w:p>
            <w:pPr>
              <w:spacing w:after="120" w:afterLines="50" w:line="276" w:lineRule="auto"/>
              <w:outlineLvl w:val="0"/>
              <w:rPr>
                <w:rFonts w:asciiTheme="minorEastAsia" w:hAnsiTheme="minorEastAsia" w:eastAsiaTheme="minorEastAsia"/>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vMerge w:val="continue"/>
            <w:vAlign w:val="center"/>
          </w:tcPr>
          <w:p>
            <w:pPr>
              <w:spacing w:after="120" w:afterLines="50" w:line="276" w:lineRule="auto"/>
              <w:outlineLvl w:val="0"/>
              <w:rPr>
                <w:rFonts w:asciiTheme="minorEastAsia" w:hAnsiTheme="minorEastAsia" w:eastAsiaTheme="minorEastAsia"/>
                <w:sz w:val="24"/>
                <w:u w:color="000000"/>
              </w:rPr>
            </w:pPr>
          </w:p>
        </w:tc>
        <w:tc>
          <w:tcPr>
            <w:tcW w:w="452" w:type="dxa"/>
            <w:vMerge w:val="continue"/>
            <w:vAlign w:val="center"/>
          </w:tcPr>
          <w:p>
            <w:pPr>
              <w:spacing w:after="120" w:afterLines="50" w:line="276" w:lineRule="auto"/>
              <w:outlineLvl w:val="0"/>
              <w:rPr>
                <w:rFonts w:asciiTheme="minorEastAsia" w:hAnsiTheme="minorEastAsia" w:eastAsiaTheme="minorEastAsia"/>
                <w:sz w:val="24"/>
                <w:u w:color="000000"/>
              </w:rPr>
            </w:pPr>
          </w:p>
        </w:tc>
        <w:tc>
          <w:tcPr>
            <w:tcW w:w="133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运营模式</w:t>
            </w:r>
          </w:p>
        </w:tc>
        <w:tc>
          <w:tcPr>
            <w:tcW w:w="89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5分</w:t>
            </w:r>
          </w:p>
        </w:tc>
        <w:tc>
          <w:tcPr>
            <w:tcW w:w="6193"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项目有清晰的运营模式计0-2分，公司有比较好的商业品牌资源计0-3分</w:t>
            </w:r>
          </w:p>
        </w:tc>
        <w:tc>
          <w:tcPr>
            <w:tcW w:w="709" w:type="dxa"/>
            <w:vAlign w:val="center"/>
          </w:tcPr>
          <w:p>
            <w:pPr>
              <w:spacing w:after="120" w:afterLines="50" w:line="276" w:lineRule="auto"/>
              <w:outlineLvl w:val="0"/>
              <w:rPr>
                <w:rFonts w:asciiTheme="minorEastAsia" w:hAnsiTheme="minorEastAsia" w:eastAsiaTheme="minorEastAsia"/>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vMerge w:val="restart"/>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3</w:t>
            </w:r>
          </w:p>
        </w:tc>
        <w:tc>
          <w:tcPr>
            <w:tcW w:w="452" w:type="dxa"/>
            <w:vMerge w:val="restart"/>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经营实力</w:t>
            </w:r>
          </w:p>
        </w:tc>
        <w:tc>
          <w:tcPr>
            <w:tcW w:w="133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租赁规模</w:t>
            </w:r>
          </w:p>
        </w:tc>
        <w:tc>
          <w:tcPr>
            <w:tcW w:w="89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20分</w:t>
            </w:r>
          </w:p>
        </w:tc>
        <w:tc>
          <w:tcPr>
            <w:tcW w:w="6193"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1、公司在全国以租赁形式整体经营商业面积累计10万</w:t>
            </w:r>
            <w:r>
              <w:rPr>
                <w:rFonts w:hint="eastAsia" w:cs="宋体" w:asciiTheme="minorEastAsia" w:hAnsiTheme="minorEastAsia" w:eastAsiaTheme="minorEastAsia"/>
                <w:sz w:val="24"/>
                <w:u w:color="000000"/>
              </w:rPr>
              <w:t>㎡</w:t>
            </w:r>
            <w:r>
              <w:rPr>
                <w:rFonts w:hint="eastAsia" w:asciiTheme="minorEastAsia" w:hAnsiTheme="minorEastAsia" w:eastAsiaTheme="minorEastAsia"/>
                <w:sz w:val="24"/>
                <w:u w:color="000000"/>
              </w:rPr>
              <w:t>以上的计10分，5-10万㎡的计5分，1-5万</w:t>
            </w:r>
            <w:r>
              <w:rPr>
                <w:rFonts w:hint="eastAsia" w:cs="宋体" w:asciiTheme="minorEastAsia" w:hAnsiTheme="minorEastAsia" w:eastAsiaTheme="minorEastAsia"/>
                <w:sz w:val="24"/>
                <w:u w:color="000000"/>
              </w:rPr>
              <w:t>㎡的计2分，1万㎡以下的不计分</w:t>
            </w:r>
            <w:r>
              <w:rPr>
                <w:rFonts w:hint="eastAsia" w:asciiTheme="minorEastAsia" w:hAnsiTheme="minorEastAsia" w:eastAsiaTheme="minorEastAsia"/>
                <w:sz w:val="24"/>
                <w:u w:color="000000"/>
              </w:rPr>
              <w:t>。</w:t>
            </w:r>
          </w:p>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2.公司在全国有超过单个商业租赁项目2万</w:t>
            </w:r>
            <w:r>
              <w:rPr>
                <w:rFonts w:hint="eastAsia" w:cs="宋体" w:asciiTheme="minorEastAsia" w:hAnsiTheme="minorEastAsia" w:eastAsiaTheme="minorEastAsia"/>
                <w:sz w:val="24"/>
                <w:u w:color="000000"/>
              </w:rPr>
              <w:t>㎡</w:t>
            </w:r>
            <w:r>
              <w:rPr>
                <w:rFonts w:hint="eastAsia" w:asciiTheme="minorEastAsia" w:hAnsiTheme="minorEastAsia" w:eastAsiaTheme="minorEastAsia"/>
                <w:sz w:val="24"/>
                <w:u w:color="000000"/>
              </w:rPr>
              <w:t>以上的，每个计5分，最多计10分。单个1万㎡以上的，每个计2分，最多计4分。</w:t>
            </w:r>
          </w:p>
          <w:p>
            <w:pPr>
              <w:spacing w:after="120" w:afterLines="50" w:line="276" w:lineRule="auto"/>
              <w:outlineLvl w:val="0"/>
              <w:rPr>
                <w:rFonts w:cs="宋体" w:asciiTheme="minorEastAsia" w:hAnsiTheme="minorEastAsia" w:eastAsiaTheme="minorEastAsia"/>
                <w:sz w:val="24"/>
                <w:u w:color="000000"/>
              </w:rPr>
            </w:pPr>
            <w:r>
              <w:rPr>
                <w:rFonts w:hint="eastAsia" w:asciiTheme="minorEastAsia" w:hAnsiTheme="minorEastAsia" w:eastAsiaTheme="minorEastAsia"/>
                <w:sz w:val="24"/>
                <w:u w:color="000000"/>
              </w:rPr>
              <w:t>（以上证明需提供</w:t>
            </w:r>
            <w:r>
              <w:rPr>
                <w:rFonts w:hint="eastAsia" w:asciiTheme="minorEastAsia" w:hAnsiTheme="minorEastAsia" w:eastAsiaTheme="minorEastAsia"/>
                <w:sz w:val="24"/>
                <w:u w:val="single"/>
              </w:rPr>
              <w:t>租赁合同复印件</w:t>
            </w:r>
            <w:r>
              <w:rPr>
                <w:rFonts w:hint="eastAsia" w:asciiTheme="minorEastAsia" w:hAnsiTheme="minorEastAsia" w:eastAsiaTheme="minorEastAsia"/>
                <w:sz w:val="24"/>
                <w:u w:color="000000"/>
              </w:rPr>
              <w:t>，如签订合同方为投标人所在控股集团或旗子控股子公司需提供项目证明或授权委托文件及股权证明）</w:t>
            </w:r>
          </w:p>
        </w:tc>
        <w:tc>
          <w:tcPr>
            <w:tcW w:w="709" w:type="dxa"/>
            <w:vAlign w:val="center"/>
          </w:tcPr>
          <w:p>
            <w:pPr>
              <w:spacing w:after="120" w:afterLines="50" w:line="276" w:lineRule="auto"/>
              <w:outlineLvl w:val="0"/>
              <w:rPr>
                <w:rFonts w:asciiTheme="minorEastAsia" w:hAnsiTheme="minorEastAsia" w:eastAsiaTheme="minorEastAsia"/>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vMerge w:val="continue"/>
            <w:vAlign w:val="center"/>
          </w:tcPr>
          <w:p>
            <w:pPr>
              <w:spacing w:after="120" w:afterLines="50" w:line="276" w:lineRule="auto"/>
              <w:outlineLvl w:val="0"/>
              <w:rPr>
                <w:rFonts w:asciiTheme="minorEastAsia" w:hAnsiTheme="minorEastAsia" w:eastAsiaTheme="minorEastAsia"/>
                <w:sz w:val="24"/>
                <w:u w:color="000000"/>
              </w:rPr>
            </w:pPr>
          </w:p>
        </w:tc>
        <w:tc>
          <w:tcPr>
            <w:tcW w:w="452" w:type="dxa"/>
            <w:vMerge w:val="continue"/>
            <w:vAlign w:val="center"/>
          </w:tcPr>
          <w:p>
            <w:pPr>
              <w:spacing w:after="120" w:afterLines="50" w:line="276" w:lineRule="auto"/>
              <w:outlineLvl w:val="0"/>
              <w:rPr>
                <w:rFonts w:asciiTheme="minorEastAsia" w:hAnsiTheme="minorEastAsia" w:eastAsiaTheme="minorEastAsia"/>
                <w:sz w:val="24"/>
                <w:u w:color="000000"/>
              </w:rPr>
            </w:pPr>
          </w:p>
        </w:tc>
        <w:tc>
          <w:tcPr>
            <w:tcW w:w="133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运营经验</w:t>
            </w:r>
          </w:p>
        </w:tc>
        <w:tc>
          <w:tcPr>
            <w:tcW w:w="89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10分</w:t>
            </w:r>
          </w:p>
        </w:tc>
        <w:tc>
          <w:tcPr>
            <w:tcW w:w="6193"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公司在全国运营商业体总量不低于10万平方，计10分，5-10万㎡计5分，5万</w:t>
            </w:r>
            <w:r>
              <w:rPr>
                <w:rFonts w:hint="eastAsia" w:cs="宋体" w:asciiTheme="minorEastAsia" w:hAnsiTheme="minorEastAsia" w:eastAsiaTheme="minorEastAsia"/>
                <w:sz w:val="24"/>
                <w:u w:color="000000"/>
              </w:rPr>
              <w:t>㎡以下计2分</w:t>
            </w:r>
            <w:r>
              <w:rPr>
                <w:rFonts w:hint="eastAsia" w:asciiTheme="minorEastAsia" w:hAnsiTheme="minorEastAsia" w:eastAsiaTheme="minorEastAsia"/>
                <w:sz w:val="24"/>
                <w:u w:color="000000"/>
              </w:rPr>
              <w:t>；</w:t>
            </w:r>
          </w:p>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（以上证明</w:t>
            </w:r>
            <w:r>
              <w:rPr>
                <w:rFonts w:hint="eastAsia" w:asciiTheme="minorEastAsia" w:hAnsiTheme="minorEastAsia" w:eastAsiaTheme="minorEastAsia"/>
                <w:sz w:val="24"/>
                <w:u w:val="single"/>
              </w:rPr>
              <w:t>需提供相关合同复印件（租赁合同或委托管理协议</w:t>
            </w:r>
            <w:r>
              <w:rPr>
                <w:rFonts w:hint="eastAsia" w:asciiTheme="minorEastAsia" w:hAnsiTheme="minorEastAsia" w:eastAsiaTheme="minorEastAsia"/>
                <w:sz w:val="24"/>
                <w:u w:color="000000"/>
              </w:rPr>
              <w:t>，如签订合同方为投标人所在控股集团或旗子控股子公司需提供项目证明或授权委托文件及股权证明）</w:t>
            </w:r>
          </w:p>
        </w:tc>
        <w:tc>
          <w:tcPr>
            <w:tcW w:w="709" w:type="dxa"/>
            <w:vAlign w:val="center"/>
          </w:tcPr>
          <w:p>
            <w:pPr>
              <w:spacing w:after="120" w:afterLines="50" w:line="276" w:lineRule="auto"/>
              <w:outlineLvl w:val="0"/>
              <w:rPr>
                <w:rFonts w:asciiTheme="minorEastAsia" w:hAnsiTheme="minorEastAsia" w:eastAsiaTheme="minorEastAsia"/>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vMerge w:val="continue"/>
            <w:vAlign w:val="center"/>
          </w:tcPr>
          <w:p>
            <w:pPr>
              <w:spacing w:after="120" w:afterLines="50" w:line="276" w:lineRule="auto"/>
              <w:outlineLvl w:val="0"/>
              <w:rPr>
                <w:rFonts w:asciiTheme="minorEastAsia" w:hAnsiTheme="minorEastAsia" w:eastAsiaTheme="minorEastAsia"/>
                <w:sz w:val="24"/>
                <w:u w:color="000000"/>
              </w:rPr>
            </w:pPr>
          </w:p>
        </w:tc>
        <w:tc>
          <w:tcPr>
            <w:tcW w:w="452" w:type="dxa"/>
            <w:vMerge w:val="continue"/>
            <w:vAlign w:val="center"/>
          </w:tcPr>
          <w:p>
            <w:pPr>
              <w:spacing w:after="120" w:afterLines="50" w:line="276" w:lineRule="auto"/>
              <w:outlineLvl w:val="0"/>
              <w:rPr>
                <w:rFonts w:asciiTheme="minorEastAsia" w:hAnsiTheme="minorEastAsia" w:eastAsiaTheme="minorEastAsia"/>
                <w:sz w:val="24"/>
                <w:u w:color="000000"/>
              </w:rPr>
            </w:pPr>
          </w:p>
        </w:tc>
        <w:tc>
          <w:tcPr>
            <w:tcW w:w="133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公司实力</w:t>
            </w:r>
          </w:p>
        </w:tc>
        <w:tc>
          <w:tcPr>
            <w:tcW w:w="89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10分</w:t>
            </w:r>
          </w:p>
        </w:tc>
        <w:tc>
          <w:tcPr>
            <w:tcW w:w="6193"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公司同国有企业/上市公司有商业项目租赁合作，且单个项目超过2万平方以上的，每个项目计5分，最多10计。（以上证明需提供相关合同及佐证材料）</w:t>
            </w:r>
          </w:p>
        </w:tc>
        <w:tc>
          <w:tcPr>
            <w:tcW w:w="709" w:type="dxa"/>
            <w:vAlign w:val="center"/>
          </w:tcPr>
          <w:p>
            <w:pPr>
              <w:spacing w:after="120" w:afterLines="50" w:line="276" w:lineRule="auto"/>
              <w:outlineLvl w:val="0"/>
              <w:rPr>
                <w:rFonts w:asciiTheme="minorEastAsia" w:hAnsiTheme="minorEastAsia" w:eastAsiaTheme="minorEastAsia"/>
                <w:sz w:val="24"/>
                <w:u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8" w:type="dxa"/>
            <w:gridSpan w:val="3"/>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合计</w:t>
            </w:r>
          </w:p>
        </w:tc>
        <w:tc>
          <w:tcPr>
            <w:tcW w:w="894"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100</w:t>
            </w:r>
          </w:p>
        </w:tc>
        <w:tc>
          <w:tcPr>
            <w:tcW w:w="6193" w:type="dxa"/>
            <w:vAlign w:val="center"/>
          </w:tcPr>
          <w:p>
            <w:pPr>
              <w:spacing w:after="120" w:afterLines="50" w:line="276" w:lineRule="auto"/>
              <w:outlineLvl w:val="0"/>
              <w:rPr>
                <w:rFonts w:asciiTheme="minorEastAsia" w:hAnsiTheme="minorEastAsia" w:eastAsiaTheme="minorEastAsia"/>
                <w:sz w:val="24"/>
                <w:u w:color="000000"/>
              </w:rPr>
            </w:pPr>
            <w:r>
              <w:rPr>
                <w:rFonts w:hint="eastAsia" w:asciiTheme="minorEastAsia" w:hAnsiTheme="minorEastAsia" w:eastAsiaTheme="minorEastAsia"/>
                <w:sz w:val="24"/>
                <w:u w:color="000000"/>
              </w:rPr>
              <w:t>得分总计</w:t>
            </w:r>
          </w:p>
        </w:tc>
        <w:tc>
          <w:tcPr>
            <w:tcW w:w="709" w:type="dxa"/>
            <w:vAlign w:val="center"/>
          </w:tcPr>
          <w:p>
            <w:pPr>
              <w:spacing w:after="120" w:afterLines="50" w:line="276" w:lineRule="auto"/>
              <w:outlineLvl w:val="0"/>
              <w:rPr>
                <w:rFonts w:asciiTheme="minorEastAsia" w:hAnsiTheme="minorEastAsia" w:eastAsiaTheme="minorEastAsia"/>
                <w:sz w:val="24"/>
                <w:u w:color="000000"/>
              </w:rPr>
            </w:pPr>
          </w:p>
        </w:tc>
      </w:tr>
    </w:tbl>
    <w:p/>
    <w:p>
      <w:pPr>
        <w:rPr>
          <w:vanish/>
        </w:rPr>
      </w:pPr>
    </w:p>
    <w:p>
      <w:pPr>
        <w:rPr>
          <w:rFonts w:cs="Tahoma"/>
          <w:b/>
          <w:bCs/>
          <w:kern w:val="32"/>
          <w:sz w:val="24"/>
        </w:rPr>
      </w:pPr>
    </w:p>
    <w:p>
      <w:pPr>
        <w:spacing w:line="400" w:lineRule="exact"/>
        <w:ind w:firstLine="720" w:firstLineChars="300"/>
        <w:rPr>
          <w:sz w:val="24"/>
        </w:rPr>
      </w:pPr>
      <w:bookmarkStart w:id="106" w:name="_Toc321052848"/>
      <w:r>
        <w:rPr>
          <w:rFonts w:hint="eastAsia"/>
          <w:sz w:val="24"/>
        </w:rPr>
        <w:t>说明：</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1、评分依据评标标准，对照投标文件进行评审。</w:t>
      </w:r>
    </w:p>
    <w:p>
      <w:pPr>
        <w:spacing w:line="360" w:lineRule="auto"/>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2、评标委员会应按照招标文件确定的评标办法和标准对投标文件进行独立评审、提出评审意见，然后根据所有评委计分的算术平均值计入总得分中。</w:t>
      </w:r>
    </w:p>
    <w:p>
      <w:pPr>
        <w:spacing w:line="360" w:lineRule="auto"/>
        <w:ind w:right="-1"/>
        <w:rPr>
          <w:bCs/>
          <w:sz w:val="24"/>
        </w:rPr>
      </w:pPr>
      <w:r>
        <w:rPr>
          <w:rFonts w:hint="eastAsia"/>
          <w:sz w:val="24"/>
        </w:rPr>
        <w:t xml:space="preserve">     </w:t>
      </w:r>
      <w:r>
        <w:rPr>
          <w:rFonts w:hint="eastAsia"/>
          <w:bCs/>
          <w:sz w:val="24"/>
        </w:rPr>
        <w:t xml:space="preserve"> 3、租赁规模、运营经验的证明材料均需在投标文件中附其复印件，如未提供或不符合要求，则不计分。</w:t>
      </w:r>
    </w:p>
    <w:p>
      <w:pPr>
        <w:numPr>
          <w:ilvl w:val="0"/>
          <w:numId w:val="2"/>
        </w:numPr>
        <w:spacing w:line="360" w:lineRule="auto"/>
        <w:ind w:right="-1" w:firstLine="720" w:firstLineChars="300"/>
        <w:rPr>
          <w:bCs/>
          <w:sz w:val="24"/>
        </w:rPr>
      </w:pPr>
      <w:r>
        <w:rPr>
          <w:rFonts w:hint="eastAsia"/>
          <w:bCs/>
          <w:sz w:val="24"/>
        </w:rPr>
        <w:t>企业业绩中的合同证明文件需为仍在履约执行阶段的有效合同。</w:t>
      </w:r>
    </w:p>
    <w:bookmarkEnd w:id="106"/>
    <w:p>
      <w:pPr>
        <w:ind w:right="-1413" w:rightChars="-673"/>
        <w:rPr>
          <w:bCs/>
          <w:sz w:val="24"/>
        </w:rPr>
      </w:pPr>
    </w:p>
    <w:p>
      <w:pPr>
        <w:ind w:right="-1413" w:rightChars="-673"/>
        <w:rPr>
          <w:b/>
          <w:bCs/>
          <w:color w:val="000000"/>
          <w:sz w:val="30"/>
        </w:rPr>
      </w:pPr>
    </w:p>
    <w:p>
      <w:pPr>
        <w:ind w:right="-1413" w:rightChars="-673"/>
        <w:rPr>
          <w:b/>
          <w:bCs/>
          <w:color w:val="000000"/>
          <w:sz w:val="30"/>
        </w:rPr>
      </w:pPr>
      <w:r>
        <w:rPr>
          <w:b/>
          <w:bCs/>
          <w:color w:val="000000"/>
          <w:sz w:val="30"/>
        </w:rPr>
        <w:br w:type="page"/>
      </w:r>
      <w:r>
        <w:rPr>
          <w:rFonts w:hint="eastAsia"/>
          <w:b/>
          <w:bCs/>
          <w:color w:val="000000"/>
          <w:sz w:val="30"/>
        </w:rPr>
        <w:t>附件二</w:t>
      </w:r>
    </w:p>
    <w:p>
      <w:pPr>
        <w:ind w:right="-1413" w:rightChars="-673"/>
        <w:rPr>
          <w:b/>
          <w:bCs/>
          <w:color w:val="000000"/>
          <w:sz w:val="30"/>
        </w:rPr>
      </w:pPr>
    </w:p>
    <w:p>
      <w:pPr>
        <w:ind w:right="-1413" w:rightChars="-673" w:firstLine="3903" w:firstLineChars="1296"/>
        <w:rPr>
          <w:bCs/>
          <w:color w:val="000000"/>
          <w:sz w:val="44"/>
          <w:szCs w:val="20"/>
          <w:vertAlign w:val="subscript"/>
        </w:rPr>
      </w:pPr>
      <w:r>
        <w:rPr>
          <w:b/>
          <w:bCs/>
          <w:color w:val="000000"/>
          <w:sz w:val="30"/>
        </w:rPr>
        <w:t>资格性检查表</w:t>
      </w:r>
    </w:p>
    <w:p>
      <w:pPr>
        <w:pStyle w:val="15"/>
        <w:jc w:val="left"/>
        <w:rPr>
          <w:rFonts w:hAnsi="宋体"/>
          <w:b/>
          <w:bCs/>
          <w:color w:val="000000"/>
          <w:sz w:val="18"/>
        </w:rPr>
      </w:pPr>
    </w:p>
    <w:tbl>
      <w:tblPr>
        <w:tblStyle w:val="3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1260"/>
        <w:gridCol w:w="747"/>
        <w:gridCol w:w="945"/>
        <w:gridCol w:w="945"/>
        <w:gridCol w:w="735"/>
        <w:gridCol w:w="911"/>
        <w:gridCol w:w="1152"/>
        <w:gridCol w:w="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8" w:hRule="atLeast"/>
          <w:jc w:val="center"/>
        </w:trPr>
        <w:tc>
          <w:tcPr>
            <w:tcW w:w="851" w:type="dxa"/>
            <w:vMerge w:val="restart"/>
            <w:tcBorders>
              <w:top w:val="single" w:color="000000" w:sz="12" w:space="0"/>
              <w:left w:val="single" w:color="000000" w:sz="12"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rPr>
              <w:t xml:space="preserve">                                                  </w:t>
            </w:r>
            <w:r>
              <w:rPr>
                <w:rFonts w:hAnsi="宋体"/>
                <w:color w:val="000000"/>
                <w:sz w:val="28"/>
              </w:rPr>
              <w:t xml:space="preserve">                                 </w:t>
            </w:r>
            <w:r>
              <w:rPr>
                <w:rFonts w:hAnsi="宋体"/>
                <w:color w:val="000000"/>
                <w:sz w:val="24"/>
              </w:rPr>
              <w:t>序号</w:t>
            </w:r>
          </w:p>
        </w:tc>
        <w:tc>
          <w:tcPr>
            <w:tcW w:w="1260" w:type="dxa"/>
            <w:vMerge w:val="restart"/>
            <w:tcBorders>
              <w:top w:val="single" w:color="000000" w:sz="12" w:space="0"/>
              <w:left w:val="single" w:color="auto" w:sz="4" w:space="0"/>
              <w:bottom w:val="single" w:color="auto" w:sz="4" w:space="0"/>
              <w:right w:val="single" w:color="auto" w:sz="4" w:space="0"/>
            </w:tcBorders>
            <w:vAlign w:val="center"/>
          </w:tcPr>
          <w:p>
            <w:pPr>
              <w:pStyle w:val="15"/>
              <w:jc w:val="center"/>
              <w:rPr>
                <w:rFonts w:hAnsi="宋体"/>
                <w:color w:val="000000"/>
                <w:sz w:val="24"/>
              </w:rPr>
            </w:pPr>
          </w:p>
          <w:p>
            <w:pPr>
              <w:pStyle w:val="15"/>
              <w:jc w:val="center"/>
              <w:rPr>
                <w:rFonts w:hAnsi="宋体"/>
                <w:color w:val="000000"/>
                <w:sz w:val="24"/>
              </w:rPr>
            </w:pPr>
            <w:r>
              <w:rPr>
                <w:rFonts w:hAnsi="宋体"/>
                <w:color w:val="000000"/>
                <w:sz w:val="24"/>
              </w:rPr>
              <w:t>投标人</w:t>
            </w:r>
          </w:p>
        </w:tc>
        <w:tc>
          <w:tcPr>
            <w:tcW w:w="747" w:type="dxa"/>
            <w:vMerge w:val="restart"/>
            <w:tcBorders>
              <w:top w:val="single" w:color="000000" w:sz="12" w:space="0"/>
              <w:left w:val="single" w:color="auto" w:sz="4"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sz w:val="24"/>
              </w:rPr>
              <w:t>违背法规有关规定的</w:t>
            </w:r>
          </w:p>
        </w:tc>
        <w:tc>
          <w:tcPr>
            <w:tcW w:w="2625" w:type="dxa"/>
            <w:gridSpan w:val="3"/>
            <w:tcBorders>
              <w:top w:val="single" w:color="000000" w:sz="12" w:space="0"/>
              <w:left w:val="single" w:color="auto" w:sz="4"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sz w:val="24"/>
              </w:rPr>
              <w:t>证明文件</w:t>
            </w:r>
          </w:p>
        </w:tc>
        <w:tc>
          <w:tcPr>
            <w:tcW w:w="2063" w:type="dxa"/>
            <w:gridSpan w:val="2"/>
            <w:tcBorders>
              <w:top w:val="single" w:color="000000" w:sz="12" w:space="0"/>
              <w:left w:val="single" w:color="auto" w:sz="4"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sz w:val="24"/>
              </w:rPr>
              <w:t>合   格   性</w:t>
            </w:r>
          </w:p>
        </w:tc>
        <w:tc>
          <w:tcPr>
            <w:tcW w:w="980" w:type="dxa"/>
            <w:vMerge w:val="restart"/>
            <w:tcBorders>
              <w:top w:val="single" w:color="000000" w:sz="12" w:space="0"/>
              <w:left w:val="single" w:color="auto" w:sz="4" w:space="0"/>
              <w:bottom w:val="single" w:color="auto" w:sz="4" w:space="0"/>
              <w:right w:val="single" w:color="000000" w:sz="12" w:space="0"/>
            </w:tcBorders>
            <w:vAlign w:val="center"/>
          </w:tcPr>
          <w:p>
            <w:pPr>
              <w:pStyle w:val="15"/>
              <w:jc w:val="center"/>
              <w:rPr>
                <w:rFonts w:hAnsi="宋体"/>
                <w:color w:val="000000"/>
                <w:sz w:val="24"/>
              </w:rPr>
            </w:pPr>
            <w:r>
              <w:rPr>
                <w:rFonts w:hAnsi="宋体"/>
                <w:color w:val="000000"/>
                <w:sz w:val="24"/>
              </w:rPr>
              <w:t>投标担保情况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23" w:hRule="atLeast"/>
          <w:jc w:val="center"/>
        </w:trPr>
        <w:tc>
          <w:tcPr>
            <w:tcW w:w="851" w:type="dxa"/>
            <w:vMerge w:val="continue"/>
            <w:tcBorders>
              <w:top w:val="single" w:color="000000" w:sz="12" w:space="0"/>
              <w:left w:val="single" w:color="000000" w:sz="12" w:space="0"/>
              <w:bottom w:val="single" w:color="auto" w:sz="4" w:space="0"/>
              <w:right w:val="single" w:color="auto" w:sz="4" w:space="0"/>
            </w:tcBorders>
            <w:vAlign w:val="center"/>
          </w:tcPr>
          <w:p>
            <w:pPr>
              <w:widowControl/>
              <w:jc w:val="left"/>
              <w:rPr>
                <w:color w:val="000000"/>
                <w:sz w:val="24"/>
              </w:rPr>
            </w:pPr>
          </w:p>
        </w:tc>
        <w:tc>
          <w:tcPr>
            <w:tcW w:w="1260" w:type="dxa"/>
            <w:vMerge w:val="continue"/>
            <w:tcBorders>
              <w:top w:val="single" w:color="000000" w:sz="12" w:space="0"/>
              <w:left w:val="single" w:color="auto" w:sz="4" w:space="0"/>
              <w:bottom w:val="single" w:color="auto" w:sz="4" w:space="0"/>
              <w:right w:val="single" w:color="auto" w:sz="4" w:space="0"/>
            </w:tcBorders>
            <w:vAlign w:val="center"/>
          </w:tcPr>
          <w:p>
            <w:pPr>
              <w:widowControl/>
              <w:jc w:val="left"/>
              <w:rPr>
                <w:color w:val="000000"/>
                <w:sz w:val="24"/>
              </w:rPr>
            </w:pPr>
          </w:p>
        </w:tc>
        <w:tc>
          <w:tcPr>
            <w:tcW w:w="747" w:type="dxa"/>
            <w:vMerge w:val="continue"/>
            <w:tcBorders>
              <w:top w:val="single" w:color="000000" w:sz="12" w:space="0"/>
              <w:left w:val="single" w:color="auto" w:sz="4" w:space="0"/>
              <w:bottom w:val="single" w:color="auto" w:sz="4" w:space="0"/>
              <w:right w:val="single" w:color="auto" w:sz="4" w:space="0"/>
            </w:tcBorders>
            <w:vAlign w:val="center"/>
          </w:tcPr>
          <w:p>
            <w:pPr>
              <w:widowControl/>
              <w:jc w:val="center"/>
              <w:rPr>
                <w:color w:val="000000"/>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sz w:val="24"/>
              </w:rPr>
              <w:t>投标文件填写签署情况</w:t>
            </w:r>
          </w:p>
        </w:tc>
        <w:tc>
          <w:tcPr>
            <w:tcW w:w="945"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sz w:val="24"/>
              </w:rPr>
              <w:t>法人代表资格证明文件</w:t>
            </w:r>
          </w:p>
        </w:tc>
        <w:tc>
          <w:tcPr>
            <w:tcW w:w="735"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sz w:val="24"/>
              </w:rPr>
              <w:t>授权委托书</w:t>
            </w:r>
          </w:p>
        </w:tc>
        <w:tc>
          <w:tcPr>
            <w:tcW w:w="911"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sz w:val="24"/>
              </w:rPr>
              <w:t>营业</w:t>
            </w:r>
          </w:p>
          <w:p>
            <w:pPr>
              <w:pStyle w:val="15"/>
              <w:jc w:val="center"/>
              <w:rPr>
                <w:rFonts w:hAnsi="宋体"/>
                <w:color w:val="000000"/>
                <w:sz w:val="24"/>
              </w:rPr>
            </w:pPr>
            <w:r>
              <w:rPr>
                <w:rFonts w:hAnsi="宋体"/>
                <w:color w:val="000000"/>
                <w:sz w:val="24"/>
              </w:rPr>
              <w:t>执照</w:t>
            </w:r>
          </w:p>
        </w:tc>
        <w:tc>
          <w:tcPr>
            <w:tcW w:w="1152"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r>
              <w:rPr>
                <w:rFonts w:hAnsi="宋体"/>
                <w:color w:val="000000"/>
                <w:sz w:val="24"/>
              </w:rPr>
              <w:t>其它资格证明文件情况</w:t>
            </w:r>
          </w:p>
        </w:tc>
        <w:tc>
          <w:tcPr>
            <w:tcW w:w="980" w:type="dxa"/>
            <w:vMerge w:val="continue"/>
            <w:tcBorders>
              <w:top w:val="single" w:color="000000" w:sz="12" w:space="0"/>
              <w:left w:val="single" w:color="auto" w:sz="4" w:space="0"/>
              <w:bottom w:val="single" w:color="auto" w:sz="4" w:space="0"/>
              <w:right w:val="single" w:color="000000" w:sz="12" w:space="0"/>
            </w:tcBorders>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51"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sz w:val="24"/>
              </w:rPr>
            </w:pPr>
          </w:p>
        </w:tc>
        <w:tc>
          <w:tcPr>
            <w:tcW w:w="126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747"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p>
        </w:tc>
        <w:tc>
          <w:tcPr>
            <w:tcW w:w="911"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p>
        </w:tc>
        <w:tc>
          <w:tcPr>
            <w:tcW w:w="1152"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rPr>
            </w:pPr>
          </w:p>
        </w:tc>
        <w:tc>
          <w:tcPr>
            <w:tcW w:w="980" w:type="dxa"/>
            <w:tcBorders>
              <w:top w:val="single" w:color="auto" w:sz="4" w:space="0"/>
              <w:left w:val="single" w:color="auto" w:sz="4" w:space="0"/>
              <w:bottom w:val="single" w:color="auto" w:sz="4" w:space="0"/>
              <w:right w:val="single" w:color="000000" w:sz="12" w:space="0"/>
            </w:tcBorders>
          </w:tcPr>
          <w:p>
            <w:pPr>
              <w:pStyle w:val="15"/>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51"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126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747"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73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11"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1152"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80" w:type="dxa"/>
            <w:tcBorders>
              <w:top w:val="single" w:color="auto" w:sz="4" w:space="0"/>
              <w:left w:val="single" w:color="auto" w:sz="4" w:space="0"/>
              <w:bottom w:val="single" w:color="auto" w:sz="4" w:space="0"/>
              <w:right w:val="single" w:color="000000"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51"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126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747"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73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11"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1152"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80" w:type="dxa"/>
            <w:tcBorders>
              <w:top w:val="single" w:color="auto" w:sz="4" w:space="0"/>
              <w:left w:val="single" w:color="auto" w:sz="4" w:space="0"/>
              <w:bottom w:val="single" w:color="auto" w:sz="4" w:space="0"/>
              <w:right w:val="single" w:color="000000"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51"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126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747"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73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11"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1152" w:type="dxa"/>
            <w:tcBorders>
              <w:top w:val="single" w:color="auto" w:sz="4" w:space="0"/>
              <w:left w:val="single" w:color="auto" w:sz="4" w:space="0"/>
              <w:bottom w:val="single" w:color="auto" w:sz="4" w:space="0"/>
              <w:right w:val="single" w:color="000000" w:sz="4" w:space="0"/>
            </w:tcBorders>
          </w:tcPr>
          <w:p>
            <w:pPr>
              <w:pStyle w:val="15"/>
              <w:jc w:val="center"/>
              <w:rPr>
                <w:rFonts w:hAnsi="宋体"/>
                <w:color w:val="000000"/>
              </w:rPr>
            </w:pPr>
          </w:p>
        </w:tc>
        <w:tc>
          <w:tcPr>
            <w:tcW w:w="980" w:type="dxa"/>
            <w:tcBorders>
              <w:top w:val="single" w:color="auto" w:sz="4" w:space="0"/>
              <w:left w:val="single" w:color="000000" w:sz="4" w:space="0"/>
              <w:bottom w:val="single" w:color="auto" w:sz="4" w:space="0"/>
              <w:right w:val="single" w:color="000000"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851" w:type="dxa"/>
            <w:tcBorders>
              <w:top w:val="single" w:color="auto" w:sz="4" w:space="0"/>
              <w:left w:val="single" w:color="000000" w:sz="12" w:space="0"/>
              <w:bottom w:val="single" w:color="000000" w:sz="12" w:space="0"/>
              <w:right w:val="single" w:color="auto" w:sz="4" w:space="0"/>
            </w:tcBorders>
          </w:tcPr>
          <w:p>
            <w:pPr>
              <w:pStyle w:val="15"/>
              <w:jc w:val="center"/>
              <w:rPr>
                <w:rFonts w:hAnsi="宋体"/>
                <w:color w:val="000000"/>
              </w:rPr>
            </w:pPr>
          </w:p>
        </w:tc>
        <w:tc>
          <w:tcPr>
            <w:tcW w:w="1260" w:type="dxa"/>
            <w:tcBorders>
              <w:top w:val="single" w:color="auto" w:sz="4" w:space="0"/>
              <w:left w:val="single" w:color="auto" w:sz="4" w:space="0"/>
              <w:bottom w:val="single" w:color="000000" w:sz="12" w:space="0"/>
              <w:right w:val="single" w:color="auto" w:sz="4" w:space="0"/>
            </w:tcBorders>
          </w:tcPr>
          <w:p>
            <w:pPr>
              <w:pStyle w:val="15"/>
              <w:jc w:val="center"/>
              <w:rPr>
                <w:rFonts w:hAnsi="宋体"/>
                <w:color w:val="000000"/>
              </w:rPr>
            </w:pPr>
          </w:p>
        </w:tc>
        <w:tc>
          <w:tcPr>
            <w:tcW w:w="747" w:type="dxa"/>
            <w:tcBorders>
              <w:top w:val="single" w:color="auto" w:sz="4" w:space="0"/>
              <w:left w:val="single" w:color="auto" w:sz="4" w:space="0"/>
              <w:bottom w:val="single" w:color="000000" w:sz="12"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000000" w:sz="12"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000000" w:sz="12" w:space="0"/>
              <w:right w:val="single" w:color="auto" w:sz="4" w:space="0"/>
            </w:tcBorders>
          </w:tcPr>
          <w:p>
            <w:pPr>
              <w:pStyle w:val="15"/>
              <w:jc w:val="center"/>
              <w:rPr>
                <w:rFonts w:hAnsi="宋体"/>
                <w:color w:val="000000"/>
              </w:rPr>
            </w:pPr>
          </w:p>
        </w:tc>
        <w:tc>
          <w:tcPr>
            <w:tcW w:w="735" w:type="dxa"/>
            <w:tcBorders>
              <w:top w:val="single" w:color="auto" w:sz="4" w:space="0"/>
              <w:left w:val="single" w:color="auto" w:sz="4" w:space="0"/>
              <w:bottom w:val="single" w:color="000000" w:sz="12" w:space="0"/>
              <w:right w:val="single" w:color="auto" w:sz="4" w:space="0"/>
            </w:tcBorders>
          </w:tcPr>
          <w:p>
            <w:pPr>
              <w:pStyle w:val="15"/>
              <w:jc w:val="center"/>
              <w:rPr>
                <w:rFonts w:hAnsi="宋体"/>
                <w:color w:val="000000"/>
              </w:rPr>
            </w:pPr>
          </w:p>
        </w:tc>
        <w:tc>
          <w:tcPr>
            <w:tcW w:w="911" w:type="dxa"/>
            <w:tcBorders>
              <w:top w:val="single" w:color="auto" w:sz="4" w:space="0"/>
              <w:left w:val="single" w:color="auto" w:sz="4" w:space="0"/>
              <w:bottom w:val="single" w:color="000000" w:sz="12" w:space="0"/>
              <w:right w:val="single" w:color="auto" w:sz="4" w:space="0"/>
            </w:tcBorders>
          </w:tcPr>
          <w:p>
            <w:pPr>
              <w:pStyle w:val="15"/>
              <w:jc w:val="center"/>
              <w:rPr>
                <w:rFonts w:hAnsi="宋体"/>
                <w:color w:val="000000"/>
              </w:rPr>
            </w:pPr>
          </w:p>
        </w:tc>
        <w:tc>
          <w:tcPr>
            <w:tcW w:w="1152" w:type="dxa"/>
            <w:tcBorders>
              <w:top w:val="single" w:color="auto" w:sz="4" w:space="0"/>
              <w:left w:val="single" w:color="auto" w:sz="4" w:space="0"/>
              <w:bottom w:val="single" w:color="000000" w:sz="12" w:space="0"/>
              <w:right w:val="single" w:color="000000" w:sz="4" w:space="0"/>
            </w:tcBorders>
          </w:tcPr>
          <w:p>
            <w:pPr>
              <w:pStyle w:val="15"/>
              <w:jc w:val="center"/>
              <w:rPr>
                <w:rFonts w:hAnsi="宋体"/>
                <w:color w:val="000000"/>
              </w:rPr>
            </w:pPr>
          </w:p>
        </w:tc>
        <w:tc>
          <w:tcPr>
            <w:tcW w:w="980" w:type="dxa"/>
            <w:tcBorders>
              <w:top w:val="single" w:color="auto" w:sz="4" w:space="0"/>
              <w:left w:val="single" w:color="000000" w:sz="4" w:space="0"/>
              <w:bottom w:val="single" w:color="000000" w:sz="12" w:space="0"/>
              <w:right w:val="single" w:color="000000" w:sz="12" w:space="0"/>
            </w:tcBorders>
          </w:tcPr>
          <w:p>
            <w:pPr>
              <w:pStyle w:val="15"/>
              <w:jc w:val="center"/>
              <w:rPr>
                <w:rFonts w:hAnsi="宋体"/>
                <w:color w:val="000000"/>
              </w:rPr>
            </w:pPr>
          </w:p>
        </w:tc>
      </w:tr>
    </w:tbl>
    <w:p>
      <w:pPr>
        <w:pStyle w:val="18"/>
        <w:spacing w:line="440" w:lineRule="exact"/>
        <w:ind w:right="-109" w:rightChars="-52" w:firstLine="357" w:firstLineChars="170"/>
      </w:pPr>
      <w:r>
        <w:t>注：有下述情况之一的，评标委员会认定其为不合格投标人：</w:t>
      </w:r>
    </w:p>
    <w:p>
      <w:pPr>
        <w:pStyle w:val="18"/>
        <w:spacing w:line="440" w:lineRule="exact"/>
        <w:ind w:right="-109" w:rightChars="-52" w:firstLine="357" w:firstLineChars="170"/>
      </w:pPr>
      <w:r>
        <w:t>（1） 在评标过程中，评标委员会发现投标人</w:t>
      </w:r>
      <w:r>
        <w:rPr>
          <w:rFonts w:hint="eastAsia"/>
        </w:rPr>
        <w:t>为他人非法代理</w:t>
      </w:r>
      <w:r>
        <w:t>投标的；串通投标的；以行贿手段谋取中标或者以其他弄虚作假方式投标的；</w:t>
      </w:r>
    </w:p>
    <w:p>
      <w:pPr>
        <w:pStyle w:val="18"/>
        <w:spacing w:line="440" w:lineRule="exact"/>
        <w:ind w:right="-109" w:rightChars="-52" w:firstLine="357" w:firstLineChars="170"/>
      </w:pPr>
      <w:r>
        <w:t>（2） 投标人拒不按照要求对投标文件进行澄清、说明或者补正的；</w:t>
      </w:r>
    </w:p>
    <w:p>
      <w:pPr>
        <w:pStyle w:val="18"/>
        <w:spacing w:line="440" w:lineRule="exact"/>
        <w:ind w:right="-109" w:rightChars="-52" w:firstLine="357" w:firstLineChars="170"/>
      </w:pPr>
      <w:r>
        <w:t>（3） 投标文件没有</w:t>
      </w:r>
      <w:r>
        <w:rPr>
          <w:rFonts w:hint="eastAsia"/>
        </w:rPr>
        <w:t>按招标文件要求签字或盖章的</w:t>
      </w:r>
      <w:r>
        <w:t>；</w:t>
      </w:r>
    </w:p>
    <w:p>
      <w:pPr>
        <w:pStyle w:val="18"/>
        <w:spacing w:line="440" w:lineRule="exact"/>
        <w:ind w:right="-109" w:rightChars="-52" w:firstLine="357" w:firstLineChars="170"/>
      </w:pPr>
      <w:r>
        <w:t>（4） 没有按照招标文件要求提供投标担保或者所提供的投标担保有瑕疵的；投标人不能提供合法的、真实的材料证明其为合格投标人的；</w:t>
      </w:r>
    </w:p>
    <w:p>
      <w:pPr>
        <w:pStyle w:val="18"/>
        <w:spacing w:line="440" w:lineRule="exact"/>
        <w:ind w:right="-109" w:rightChars="-52" w:firstLine="357" w:firstLineChars="170"/>
      </w:pPr>
      <w:r>
        <w:t>（5） 投标人资格条件不符合招标文件要求的；其它不能满足法律法规资格性规定的</w:t>
      </w:r>
      <w:r>
        <w:rPr>
          <w:rFonts w:hint="eastAsia"/>
        </w:rPr>
        <w:t>。</w:t>
      </w:r>
    </w:p>
    <w:p>
      <w:pPr>
        <w:pStyle w:val="18"/>
        <w:spacing w:line="440" w:lineRule="exact"/>
        <w:ind w:right="-109" w:rightChars="-52"/>
      </w:pPr>
    </w:p>
    <w:p>
      <w:pPr>
        <w:pStyle w:val="18"/>
        <w:spacing w:line="440" w:lineRule="exact"/>
        <w:ind w:right="-109" w:rightChars="-52"/>
      </w:pPr>
    </w:p>
    <w:p>
      <w:pPr>
        <w:pStyle w:val="18"/>
        <w:spacing w:line="440" w:lineRule="exact"/>
        <w:ind w:right="-109" w:rightChars="-52" w:firstLine="0" w:firstLineChars="0"/>
      </w:pPr>
    </w:p>
    <w:p>
      <w:pPr>
        <w:pStyle w:val="18"/>
        <w:spacing w:line="440" w:lineRule="exact"/>
        <w:ind w:right="-109" w:rightChars="-52" w:firstLine="0" w:firstLineChars="0"/>
      </w:pPr>
    </w:p>
    <w:p>
      <w:pPr>
        <w:pStyle w:val="18"/>
        <w:spacing w:line="440" w:lineRule="exact"/>
        <w:ind w:right="-109" w:rightChars="-52" w:firstLine="0" w:firstLineChars="0"/>
      </w:pPr>
    </w:p>
    <w:p>
      <w:pPr>
        <w:pStyle w:val="18"/>
        <w:spacing w:line="440" w:lineRule="exact"/>
        <w:ind w:right="-109" w:rightChars="-52" w:firstLine="0" w:firstLineChars="0"/>
      </w:pPr>
    </w:p>
    <w:p>
      <w:pPr>
        <w:pStyle w:val="18"/>
        <w:spacing w:line="440" w:lineRule="exact"/>
        <w:ind w:right="-109" w:rightChars="-52" w:firstLine="0" w:firstLineChars="0"/>
      </w:pPr>
    </w:p>
    <w:p>
      <w:pPr>
        <w:pStyle w:val="18"/>
        <w:spacing w:line="440" w:lineRule="exact"/>
        <w:ind w:right="-109" w:rightChars="-52" w:firstLine="0" w:firstLineChars="0"/>
      </w:pPr>
    </w:p>
    <w:p>
      <w:pPr>
        <w:pStyle w:val="18"/>
        <w:spacing w:line="440" w:lineRule="exact"/>
        <w:ind w:right="-109" w:rightChars="-52" w:firstLine="0" w:firstLineChars="0"/>
      </w:pPr>
    </w:p>
    <w:p>
      <w:pPr>
        <w:pStyle w:val="18"/>
        <w:spacing w:line="440" w:lineRule="exact"/>
        <w:ind w:right="-109" w:rightChars="-52" w:firstLine="0" w:firstLineChars="0"/>
      </w:pPr>
    </w:p>
    <w:p>
      <w:pPr>
        <w:ind w:right="-1413" w:rightChars="-673"/>
        <w:rPr>
          <w:b/>
          <w:bCs/>
          <w:color w:val="000000"/>
          <w:sz w:val="30"/>
        </w:rPr>
      </w:pPr>
      <w:r>
        <w:rPr>
          <w:rFonts w:hint="eastAsia"/>
          <w:b/>
          <w:bCs/>
          <w:color w:val="000000"/>
          <w:sz w:val="30"/>
        </w:rPr>
        <w:t xml:space="preserve">附件三                  </w:t>
      </w:r>
    </w:p>
    <w:p>
      <w:pPr>
        <w:ind w:right="-1413" w:rightChars="-673" w:firstLine="4204" w:firstLineChars="1396"/>
        <w:rPr>
          <w:b/>
          <w:bCs/>
          <w:color w:val="000000"/>
          <w:sz w:val="30"/>
        </w:rPr>
      </w:pPr>
    </w:p>
    <w:p>
      <w:pPr>
        <w:ind w:right="-1413" w:rightChars="-673" w:firstLine="3753" w:firstLineChars="1246"/>
        <w:rPr>
          <w:b/>
          <w:bCs/>
          <w:color w:val="000000"/>
          <w:sz w:val="30"/>
        </w:rPr>
      </w:pPr>
      <w:r>
        <w:rPr>
          <w:b/>
          <w:bCs/>
          <w:color w:val="000000"/>
          <w:sz w:val="30"/>
        </w:rPr>
        <w:t>符合性检查表</w:t>
      </w:r>
    </w:p>
    <w:p>
      <w:pPr>
        <w:jc w:val="center"/>
        <w:rPr>
          <w:color w:val="000000"/>
          <w:sz w:val="18"/>
          <w:szCs w:val="20"/>
        </w:rPr>
      </w:pPr>
    </w:p>
    <w:tbl>
      <w:tblPr>
        <w:tblStyle w:val="3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2"/>
        <w:gridCol w:w="953"/>
        <w:gridCol w:w="1155"/>
        <w:gridCol w:w="1155"/>
        <w:gridCol w:w="945"/>
        <w:gridCol w:w="840"/>
        <w:gridCol w:w="735"/>
        <w:gridCol w:w="840"/>
        <w:gridCol w:w="855"/>
        <w:gridCol w:w="1080"/>
      </w:tblGrid>
      <w:tr>
        <w:tblPrEx>
          <w:tblCellMar>
            <w:top w:w="0" w:type="dxa"/>
            <w:left w:w="108" w:type="dxa"/>
            <w:bottom w:w="0" w:type="dxa"/>
            <w:right w:w="108" w:type="dxa"/>
          </w:tblCellMar>
        </w:tblPrEx>
        <w:trPr>
          <w:cantSplit/>
          <w:trHeight w:val="597" w:hRule="atLeast"/>
          <w:jc w:val="center"/>
        </w:trPr>
        <w:tc>
          <w:tcPr>
            <w:tcW w:w="622" w:type="dxa"/>
            <w:vMerge w:val="restart"/>
            <w:tcBorders>
              <w:top w:val="single" w:color="000000" w:sz="12" w:space="0"/>
              <w:left w:val="single" w:color="000000" w:sz="12" w:space="0"/>
              <w:bottom w:val="single" w:color="auto" w:sz="4" w:space="0"/>
              <w:right w:val="single" w:color="auto" w:sz="4" w:space="0"/>
            </w:tcBorders>
            <w:vAlign w:val="center"/>
          </w:tcPr>
          <w:p>
            <w:pPr>
              <w:pStyle w:val="15"/>
              <w:jc w:val="center"/>
              <w:rPr>
                <w:rFonts w:hAnsi="宋体"/>
                <w:color w:val="000000"/>
                <w:sz w:val="24"/>
                <w:szCs w:val="24"/>
              </w:rPr>
            </w:pPr>
            <w:r>
              <w:rPr>
                <w:rFonts w:hAnsi="宋体"/>
                <w:color w:val="000000"/>
                <w:sz w:val="24"/>
                <w:szCs w:val="24"/>
              </w:rPr>
              <w:t>序</w:t>
            </w:r>
          </w:p>
          <w:p>
            <w:pPr>
              <w:pStyle w:val="15"/>
              <w:jc w:val="center"/>
              <w:rPr>
                <w:rFonts w:hAnsi="宋体"/>
                <w:color w:val="000000"/>
                <w:sz w:val="24"/>
                <w:szCs w:val="24"/>
              </w:rPr>
            </w:pPr>
            <w:r>
              <w:rPr>
                <w:rFonts w:hAnsi="宋体"/>
                <w:color w:val="000000"/>
                <w:sz w:val="24"/>
                <w:szCs w:val="24"/>
              </w:rPr>
              <w:t>号</w:t>
            </w:r>
          </w:p>
        </w:tc>
        <w:tc>
          <w:tcPr>
            <w:tcW w:w="953" w:type="dxa"/>
            <w:vMerge w:val="restart"/>
            <w:tcBorders>
              <w:top w:val="single" w:color="000000" w:sz="12" w:space="0"/>
              <w:left w:val="single" w:color="auto" w:sz="4" w:space="0"/>
              <w:bottom w:val="single" w:color="auto" w:sz="4" w:space="0"/>
              <w:right w:val="single" w:color="auto" w:sz="4" w:space="0"/>
            </w:tcBorders>
            <w:vAlign w:val="center"/>
          </w:tcPr>
          <w:p>
            <w:pPr>
              <w:pStyle w:val="15"/>
              <w:jc w:val="center"/>
              <w:rPr>
                <w:rFonts w:hAnsi="宋体"/>
                <w:color w:val="000000"/>
                <w:sz w:val="24"/>
                <w:szCs w:val="24"/>
              </w:rPr>
            </w:pPr>
            <w:r>
              <w:rPr>
                <w:rFonts w:hAnsi="宋体"/>
                <w:color w:val="000000"/>
                <w:sz w:val="24"/>
                <w:szCs w:val="24"/>
              </w:rPr>
              <w:t>投标人</w:t>
            </w:r>
          </w:p>
        </w:tc>
        <w:tc>
          <w:tcPr>
            <w:tcW w:w="2310" w:type="dxa"/>
            <w:gridSpan w:val="2"/>
            <w:tcBorders>
              <w:top w:val="single" w:color="000000" w:sz="12" w:space="0"/>
              <w:left w:val="single" w:color="auto" w:sz="4" w:space="0"/>
              <w:bottom w:val="single" w:color="000000" w:sz="4" w:space="0"/>
              <w:right w:val="single" w:color="auto" w:sz="4" w:space="0"/>
            </w:tcBorders>
            <w:vAlign w:val="center"/>
          </w:tcPr>
          <w:p>
            <w:pPr>
              <w:pStyle w:val="15"/>
              <w:jc w:val="center"/>
              <w:rPr>
                <w:rFonts w:hAnsi="宋体"/>
                <w:color w:val="000000"/>
                <w:sz w:val="24"/>
                <w:szCs w:val="24"/>
              </w:rPr>
            </w:pPr>
            <w:r>
              <w:rPr>
                <w:rFonts w:hAnsi="宋体"/>
                <w:color w:val="000000"/>
                <w:sz w:val="24"/>
                <w:szCs w:val="24"/>
              </w:rPr>
              <w:t>完整性</w:t>
            </w:r>
          </w:p>
        </w:tc>
        <w:tc>
          <w:tcPr>
            <w:tcW w:w="5295" w:type="dxa"/>
            <w:gridSpan w:val="6"/>
            <w:tcBorders>
              <w:top w:val="single" w:color="000000" w:sz="12" w:space="0"/>
              <w:left w:val="single" w:color="auto" w:sz="4" w:space="0"/>
              <w:bottom w:val="single" w:color="000000" w:sz="4" w:space="0"/>
              <w:right w:val="single" w:color="000000" w:sz="12" w:space="0"/>
            </w:tcBorders>
            <w:vAlign w:val="center"/>
          </w:tcPr>
          <w:p>
            <w:pPr>
              <w:pStyle w:val="15"/>
              <w:jc w:val="center"/>
              <w:rPr>
                <w:rFonts w:hAnsi="宋体"/>
                <w:color w:val="000000"/>
                <w:sz w:val="24"/>
                <w:szCs w:val="24"/>
              </w:rPr>
            </w:pPr>
            <w:r>
              <w:rPr>
                <w:rFonts w:hAnsi="宋体"/>
                <w:color w:val="000000"/>
                <w:sz w:val="24"/>
                <w:szCs w:val="24"/>
              </w:rPr>
              <w:t>实质性响应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2" w:hRule="atLeast"/>
          <w:jc w:val="center"/>
        </w:trPr>
        <w:tc>
          <w:tcPr>
            <w:tcW w:w="622" w:type="dxa"/>
            <w:vMerge w:val="continue"/>
            <w:tcBorders>
              <w:top w:val="single" w:color="000000" w:sz="12" w:space="0"/>
              <w:left w:val="single" w:color="000000" w:sz="12" w:space="0"/>
              <w:bottom w:val="single" w:color="auto" w:sz="4" w:space="0"/>
              <w:right w:val="single" w:color="auto" w:sz="4" w:space="0"/>
            </w:tcBorders>
            <w:vAlign w:val="center"/>
          </w:tcPr>
          <w:p>
            <w:pPr>
              <w:widowControl/>
              <w:jc w:val="left"/>
              <w:rPr>
                <w:color w:val="000000"/>
                <w:sz w:val="24"/>
              </w:rPr>
            </w:pPr>
          </w:p>
        </w:tc>
        <w:tc>
          <w:tcPr>
            <w:tcW w:w="953" w:type="dxa"/>
            <w:vMerge w:val="continue"/>
            <w:tcBorders>
              <w:top w:val="single" w:color="000000" w:sz="12" w:space="0"/>
              <w:left w:val="single" w:color="auto" w:sz="4" w:space="0"/>
              <w:bottom w:val="single" w:color="auto" w:sz="4" w:space="0"/>
              <w:right w:val="single" w:color="auto" w:sz="4" w:space="0"/>
            </w:tcBorders>
            <w:vAlign w:val="center"/>
          </w:tcPr>
          <w:p>
            <w:pPr>
              <w:widowControl/>
              <w:jc w:val="left"/>
              <w:rPr>
                <w:color w:val="000000"/>
                <w:sz w:val="24"/>
              </w:rPr>
            </w:pPr>
          </w:p>
        </w:tc>
        <w:tc>
          <w:tcPr>
            <w:tcW w:w="1155" w:type="dxa"/>
            <w:tcBorders>
              <w:top w:val="single" w:color="000000" w:sz="4" w:space="0"/>
              <w:left w:val="single" w:color="auto" w:sz="4" w:space="0"/>
              <w:bottom w:val="single" w:color="auto" w:sz="4" w:space="0"/>
              <w:right w:val="single" w:color="auto" w:sz="4" w:space="0"/>
            </w:tcBorders>
            <w:vAlign w:val="center"/>
          </w:tcPr>
          <w:p>
            <w:pPr>
              <w:pStyle w:val="15"/>
              <w:jc w:val="center"/>
              <w:rPr>
                <w:rFonts w:hAnsi="宋体"/>
                <w:color w:val="000000"/>
                <w:sz w:val="24"/>
                <w:szCs w:val="24"/>
              </w:rPr>
            </w:pPr>
            <w:r>
              <w:rPr>
                <w:rFonts w:hAnsi="宋体"/>
                <w:color w:val="000000"/>
                <w:sz w:val="24"/>
                <w:szCs w:val="24"/>
              </w:rPr>
              <w:t>投标文件的组成</w:t>
            </w:r>
          </w:p>
        </w:tc>
        <w:tc>
          <w:tcPr>
            <w:tcW w:w="1155"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szCs w:val="24"/>
              </w:rPr>
            </w:pPr>
            <w:r>
              <w:rPr>
                <w:rFonts w:hAnsi="宋体"/>
                <w:color w:val="000000"/>
                <w:sz w:val="24"/>
                <w:szCs w:val="24"/>
              </w:rPr>
              <w:t>投标文件的格式</w:t>
            </w:r>
          </w:p>
        </w:tc>
        <w:tc>
          <w:tcPr>
            <w:tcW w:w="945"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szCs w:val="24"/>
              </w:rPr>
            </w:pPr>
            <w:r>
              <w:rPr>
                <w:rFonts w:hAnsi="宋体"/>
                <w:color w:val="000000"/>
                <w:sz w:val="24"/>
                <w:szCs w:val="24"/>
              </w:rPr>
              <w:t>报价</w:t>
            </w:r>
          </w:p>
          <w:p>
            <w:pPr>
              <w:pStyle w:val="15"/>
              <w:jc w:val="center"/>
              <w:rPr>
                <w:rFonts w:hAnsi="宋体"/>
                <w:color w:val="000000"/>
                <w:sz w:val="24"/>
                <w:szCs w:val="24"/>
              </w:rPr>
            </w:pPr>
            <w:r>
              <w:rPr>
                <w:rFonts w:hAnsi="宋体"/>
                <w:color w:val="000000"/>
                <w:sz w:val="24"/>
                <w:szCs w:val="24"/>
              </w:rPr>
              <w:t>范围</w:t>
            </w:r>
          </w:p>
        </w:tc>
        <w:tc>
          <w:tcPr>
            <w:tcW w:w="840" w:type="dxa"/>
            <w:tcBorders>
              <w:top w:val="single" w:color="auto" w:sz="4" w:space="0"/>
              <w:left w:val="single" w:color="auto" w:sz="4" w:space="0"/>
              <w:bottom w:val="single" w:color="auto" w:sz="4" w:space="0"/>
              <w:right w:val="single" w:color="auto" w:sz="4" w:space="0"/>
            </w:tcBorders>
            <w:vAlign w:val="center"/>
          </w:tcPr>
          <w:p>
            <w:pPr>
              <w:pStyle w:val="15"/>
              <w:jc w:val="center"/>
              <w:rPr>
                <w:rFonts w:hAnsi="宋体"/>
                <w:color w:val="000000"/>
                <w:sz w:val="24"/>
                <w:szCs w:val="24"/>
              </w:rPr>
            </w:pPr>
            <w:r>
              <w:rPr>
                <w:rFonts w:hint="eastAsia" w:hAnsi="宋体"/>
                <w:color w:val="000000"/>
                <w:sz w:val="24"/>
                <w:szCs w:val="24"/>
              </w:rPr>
              <w:t>付款方式</w:t>
            </w:r>
          </w:p>
        </w:tc>
        <w:tc>
          <w:tcPr>
            <w:tcW w:w="735" w:type="dxa"/>
            <w:tcBorders>
              <w:top w:val="single" w:color="000000" w:sz="4" w:space="0"/>
              <w:left w:val="single" w:color="auto" w:sz="4" w:space="0"/>
              <w:bottom w:val="single" w:color="auto" w:sz="4" w:space="0"/>
              <w:right w:val="single" w:color="auto" w:sz="4" w:space="0"/>
            </w:tcBorders>
            <w:vAlign w:val="center"/>
          </w:tcPr>
          <w:p>
            <w:pPr>
              <w:pStyle w:val="15"/>
              <w:jc w:val="center"/>
              <w:rPr>
                <w:rFonts w:hAnsi="宋体"/>
                <w:color w:val="000000"/>
                <w:sz w:val="24"/>
                <w:szCs w:val="24"/>
              </w:rPr>
            </w:pPr>
            <w:r>
              <w:rPr>
                <w:rFonts w:hint="eastAsia" w:hAnsi="宋体"/>
                <w:color w:val="000000"/>
                <w:sz w:val="24"/>
                <w:szCs w:val="24"/>
              </w:rPr>
              <w:t>经营期限</w:t>
            </w:r>
          </w:p>
        </w:tc>
        <w:tc>
          <w:tcPr>
            <w:tcW w:w="840" w:type="dxa"/>
            <w:tcBorders>
              <w:top w:val="single" w:color="000000" w:sz="4" w:space="0"/>
              <w:left w:val="single" w:color="auto" w:sz="4" w:space="0"/>
              <w:bottom w:val="single" w:color="auto" w:sz="4" w:space="0"/>
              <w:right w:val="single" w:color="auto" w:sz="4" w:space="0"/>
            </w:tcBorders>
            <w:vAlign w:val="center"/>
          </w:tcPr>
          <w:p>
            <w:pPr>
              <w:pStyle w:val="15"/>
              <w:jc w:val="center"/>
              <w:rPr>
                <w:rFonts w:hAnsi="宋体"/>
                <w:color w:val="000000"/>
                <w:sz w:val="24"/>
                <w:szCs w:val="24"/>
              </w:rPr>
            </w:pPr>
            <w:r>
              <w:rPr>
                <w:rFonts w:hint="eastAsia" w:hAnsi="宋体"/>
                <w:color w:val="000000"/>
                <w:sz w:val="24"/>
                <w:szCs w:val="24"/>
              </w:rPr>
              <w:t>投标</w:t>
            </w:r>
          </w:p>
          <w:p>
            <w:pPr>
              <w:pStyle w:val="15"/>
              <w:jc w:val="center"/>
              <w:rPr>
                <w:rFonts w:hAnsi="宋体"/>
                <w:color w:val="000000"/>
                <w:sz w:val="24"/>
                <w:szCs w:val="24"/>
              </w:rPr>
            </w:pPr>
            <w:r>
              <w:rPr>
                <w:rFonts w:hAnsi="宋体"/>
                <w:color w:val="000000"/>
                <w:sz w:val="24"/>
                <w:szCs w:val="24"/>
              </w:rPr>
              <w:t>承诺</w:t>
            </w:r>
          </w:p>
        </w:tc>
        <w:tc>
          <w:tcPr>
            <w:tcW w:w="855" w:type="dxa"/>
            <w:tcBorders>
              <w:top w:val="single" w:color="000000" w:sz="4" w:space="0"/>
              <w:left w:val="single" w:color="auto" w:sz="4" w:space="0"/>
              <w:bottom w:val="single" w:color="000000" w:sz="4" w:space="0"/>
              <w:right w:val="single" w:color="auto" w:sz="4" w:space="0"/>
            </w:tcBorders>
            <w:vAlign w:val="center"/>
          </w:tcPr>
          <w:p>
            <w:pPr>
              <w:pStyle w:val="15"/>
              <w:jc w:val="center"/>
              <w:rPr>
                <w:rFonts w:hAnsi="宋体"/>
                <w:color w:val="000000"/>
                <w:sz w:val="24"/>
                <w:szCs w:val="24"/>
              </w:rPr>
            </w:pPr>
            <w:r>
              <w:rPr>
                <w:rFonts w:hAnsi="宋体"/>
                <w:color w:val="000000"/>
                <w:sz w:val="24"/>
                <w:szCs w:val="24"/>
              </w:rPr>
              <w:t>合同</w:t>
            </w:r>
          </w:p>
          <w:p>
            <w:pPr>
              <w:pStyle w:val="15"/>
              <w:jc w:val="center"/>
              <w:rPr>
                <w:rFonts w:hAnsi="宋体"/>
                <w:color w:val="000000"/>
                <w:sz w:val="24"/>
                <w:szCs w:val="24"/>
              </w:rPr>
            </w:pPr>
            <w:r>
              <w:rPr>
                <w:rFonts w:hAnsi="宋体"/>
                <w:color w:val="000000"/>
                <w:sz w:val="24"/>
                <w:szCs w:val="24"/>
              </w:rPr>
              <w:t>条款</w:t>
            </w:r>
          </w:p>
        </w:tc>
        <w:tc>
          <w:tcPr>
            <w:tcW w:w="1080" w:type="dxa"/>
            <w:tcBorders>
              <w:top w:val="single" w:color="000000" w:sz="4" w:space="0"/>
              <w:left w:val="single" w:color="auto" w:sz="4" w:space="0"/>
              <w:bottom w:val="single" w:color="000000" w:sz="4" w:space="0"/>
              <w:right w:val="single" w:color="000000" w:sz="12" w:space="0"/>
            </w:tcBorders>
            <w:vAlign w:val="center"/>
          </w:tcPr>
          <w:p>
            <w:pPr>
              <w:pStyle w:val="15"/>
              <w:jc w:val="center"/>
              <w:rPr>
                <w:rFonts w:hAnsi="宋体"/>
                <w:color w:val="000000"/>
                <w:sz w:val="24"/>
                <w:szCs w:val="24"/>
              </w:rPr>
            </w:pPr>
            <w:r>
              <w:rPr>
                <w:rFonts w:hAnsi="宋体"/>
                <w:color w:val="000000"/>
                <w:sz w:val="24"/>
                <w:szCs w:val="24"/>
              </w:rPr>
              <w:t>其它实质性内容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622"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sz w:val="24"/>
              </w:rPr>
            </w:pPr>
          </w:p>
        </w:tc>
        <w:tc>
          <w:tcPr>
            <w:tcW w:w="953"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84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73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84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855" w:type="dxa"/>
            <w:tcBorders>
              <w:top w:val="single" w:color="000000" w:sz="4" w:space="0"/>
              <w:left w:val="single" w:color="auto" w:sz="4" w:space="0"/>
              <w:bottom w:val="single" w:color="000000" w:sz="4" w:space="0"/>
              <w:right w:val="single" w:color="auto" w:sz="4" w:space="0"/>
            </w:tcBorders>
          </w:tcPr>
          <w:p>
            <w:pPr>
              <w:pStyle w:val="15"/>
              <w:jc w:val="center"/>
              <w:rPr>
                <w:rFonts w:hAnsi="宋体"/>
                <w:color w:val="000000"/>
                <w:sz w:val="24"/>
              </w:rPr>
            </w:pPr>
          </w:p>
        </w:tc>
        <w:tc>
          <w:tcPr>
            <w:tcW w:w="1080" w:type="dxa"/>
            <w:tcBorders>
              <w:top w:val="single" w:color="000000" w:sz="4" w:space="0"/>
              <w:left w:val="single" w:color="auto" w:sz="4" w:space="0"/>
              <w:bottom w:val="single" w:color="000000" w:sz="4" w:space="0"/>
              <w:right w:val="single" w:color="000000" w:sz="12" w:space="0"/>
            </w:tcBorders>
          </w:tcPr>
          <w:p>
            <w:pPr>
              <w:pStyle w:val="15"/>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622"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sz w:val="24"/>
              </w:rPr>
            </w:pPr>
          </w:p>
        </w:tc>
        <w:tc>
          <w:tcPr>
            <w:tcW w:w="953"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115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84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73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84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sz w:val="24"/>
              </w:rPr>
            </w:pPr>
          </w:p>
        </w:tc>
        <w:tc>
          <w:tcPr>
            <w:tcW w:w="855" w:type="dxa"/>
            <w:tcBorders>
              <w:top w:val="single" w:color="000000" w:sz="4" w:space="0"/>
              <w:left w:val="single" w:color="auto" w:sz="4" w:space="0"/>
              <w:bottom w:val="single" w:color="000000" w:sz="4" w:space="0"/>
              <w:right w:val="single" w:color="auto" w:sz="4" w:space="0"/>
            </w:tcBorders>
          </w:tcPr>
          <w:p>
            <w:pPr>
              <w:pStyle w:val="15"/>
              <w:jc w:val="center"/>
              <w:rPr>
                <w:rFonts w:hAnsi="宋体"/>
                <w:color w:val="000000"/>
                <w:sz w:val="24"/>
              </w:rPr>
            </w:pPr>
          </w:p>
        </w:tc>
        <w:tc>
          <w:tcPr>
            <w:tcW w:w="1080" w:type="dxa"/>
            <w:tcBorders>
              <w:top w:val="single" w:color="000000" w:sz="4" w:space="0"/>
              <w:left w:val="single" w:color="auto" w:sz="4" w:space="0"/>
              <w:bottom w:val="single" w:color="000000" w:sz="4" w:space="0"/>
              <w:right w:val="single" w:color="000000" w:sz="12" w:space="0"/>
            </w:tcBorders>
          </w:tcPr>
          <w:p>
            <w:pPr>
              <w:pStyle w:val="15"/>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622"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953"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115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115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84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73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84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855" w:type="dxa"/>
            <w:tcBorders>
              <w:top w:val="single" w:color="000000" w:sz="4" w:space="0"/>
              <w:left w:val="single" w:color="auto" w:sz="4" w:space="0"/>
              <w:bottom w:val="single" w:color="000000" w:sz="4" w:space="0"/>
              <w:right w:val="single" w:color="auto" w:sz="4" w:space="0"/>
            </w:tcBorders>
          </w:tcPr>
          <w:p>
            <w:pPr>
              <w:pStyle w:val="15"/>
              <w:jc w:val="center"/>
              <w:rPr>
                <w:rFonts w:hAnsi="宋体"/>
                <w:color w:val="000000"/>
              </w:rPr>
            </w:pPr>
          </w:p>
        </w:tc>
        <w:tc>
          <w:tcPr>
            <w:tcW w:w="1080" w:type="dxa"/>
            <w:tcBorders>
              <w:top w:val="single" w:color="000000" w:sz="4" w:space="0"/>
              <w:left w:val="single" w:color="auto" w:sz="4" w:space="0"/>
              <w:bottom w:val="single" w:color="000000" w:sz="4" w:space="0"/>
              <w:right w:val="single" w:color="000000"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622"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953"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115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115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84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735"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840" w:type="dxa"/>
            <w:tcBorders>
              <w:top w:val="single" w:color="auto" w:sz="4" w:space="0"/>
              <w:left w:val="single" w:color="auto" w:sz="4" w:space="0"/>
              <w:bottom w:val="single" w:color="auto" w:sz="4" w:space="0"/>
              <w:right w:val="single" w:color="auto" w:sz="4" w:space="0"/>
            </w:tcBorders>
          </w:tcPr>
          <w:p>
            <w:pPr>
              <w:pStyle w:val="15"/>
              <w:jc w:val="center"/>
              <w:rPr>
                <w:rFonts w:hAnsi="宋体"/>
                <w:color w:val="000000"/>
              </w:rPr>
            </w:pPr>
          </w:p>
        </w:tc>
        <w:tc>
          <w:tcPr>
            <w:tcW w:w="855" w:type="dxa"/>
            <w:tcBorders>
              <w:top w:val="single" w:color="000000" w:sz="4" w:space="0"/>
              <w:left w:val="single" w:color="auto" w:sz="4" w:space="0"/>
              <w:bottom w:val="single" w:color="000000" w:sz="4" w:space="0"/>
              <w:right w:val="single" w:color="auto" w:sz="4" w:space="0"/>
            </w:tcBorders>
          </w:tcPr>
          <w:p>
            <w:pPr>
              <w:pStyle w:val="15"/>
              <w:jc w:val="center"/>
              <w:rPr>
                <w:rFonts w:hAnsi="宋体"/>
                <w:color w:val="000000"/>
              </w:rPr>
            </w:pPr>
          </w:p>
        </w:tc>
        <w:tc>
          <w:tcPr>
            <w:tcW w:w="1080" w:type="dxa"/>
            <w:tcBorders>
              <w:top w:val="single" w:color="000000" w:sz="4" w:space="0"/>
              <w:left w:val="single" w:color="auto" w:sz="4" w:space="0"/>
              <w:bottom w:val="single" w:color="000000" w:sz="4" w:space="0"/>
              <w:right w:val="single" w:color="000000"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622" w:type="dxa"/>
            <w:tcBorders>
              <w:top w:val="single" w:color="auto" w:sz="4" w:space="0"/>
              <w:left w:val="single" w:color="000000" w:sz="12" w:space="0"/>
              <w:bottom w:val="single" w:color="auto" w:sz="12" w:space="0"/>
              <w:right w:val="single" w:color="auto" w:sz="4" w:space="0"/>
            </w:tcBorders>
          </w:tcPr>
          <w:p>
            <w:pPr>
              <w:pStyle w:val="15"/>
              <w:jc w:val="center"/>
              <w:rPr>
                <w:rFonts w:hAnsi="宋体"/>
                <w:color w:val="000000"/>
              </w:rPr>
            </w:pPr>
          </w:p>
        </w:tc>
        <w:tc>
          <w:tcPr>
            <w:tcW w:w="953" w:type="dxa"/>
            <w:tcBorders>
              <w:top w:val="single" w:color="auto" w:sz="4" w:space="0"/>
              <w:left w:val="single" w:color="auto" w:sz="4" w:space="0"/>
              <w:bottom w:val="single" w:color="auto" w:sz="12" w:space="0"/>
              <w:right w:val="single" w:color="auto" w:sz="4" w:space="0"/>
            </w:tcBorders>
          </w:tcPr>
          <w:p>
            <w:pPr>
              <w:pStyle w:val="15"/>
              <w:jc w:val="center"/>
              <w:rPr>
                <w:rFonts w:hAnsi="宋体"/>
                <w:color w:val="000000"/>
              </w:rPr>
            </w:pPr>
          </w:p>
        </w:tc>
        <w:tc>
          <w:tcPr>
            <w:tcW w:w="1155" w:type="dxa"/>
            <w:tcBorders>
              <w:top w:val="single" w:color="auto" w:sz="4" w:space="0"/>
              <w:left w:val="single" w:color="auto" w:sz="4" w:space="0"/>
              <w:bottom w:val="single" w:color="auto" w:sz="12" w:space="0"/>
              <w:right w:val="single" w:color="auto" w:sz="4" w:space="0"/>
            </w:tcBorders>
          </w:tcPr>
          <w:p>
            <w:pPr>
              <w:pStyle w:val="15"/>
              <w:jc w:val="center"/>
              <w:rPr>
                <w:rFonts w:hAnsi="宋体"/>
                <w:color w:val="000000"/>
              </w:rPr>
            </w:pPr>
          </w:p>
        </w:tc>
        <w:tc>
          <w:tcPr>
            <w:tcW w:w="1155" w:type="dxa"/>
            <w:tcBorders>
              <w:top w:val="single" w:color="auto" w:sz="4" w:space="0"/>
              <w:left w:val="single" w:color="auto" w:sz="4" w:space="0"/>
              <w:bottom w:val="single" w:color="auto" w:sz="12" w:space="0"/>
              <w:right w:val="single" w:color="auto" w:sz="4" w:space="0"/>
            </w:tcBorders>
          </w:tcPr>
          <w:p>
            <w:pPr>
              <w:pStyle w:val="15"/>
              <w:jc w:val="center"/>
              <w:rPr>
                <w:rFonts w:hAnsi="宋体"/>
                <w:color w:val="000000"/>
              </w:rPr>
            </w:pPr>
          </w:p>
        </w:tc>
        <w:tc>
          <w:tcPr>
            <w:tcW w:w="945" w:type="dxa"/>
            <w:tcBorders>
              <w:top w:val="single" w:color="auto" w:sz="4" w:space="0"/>
              <w:left w:val="single" w:color="auto" w:sz="4" w:space="0"/>
              <w:bottom w:val="single" w:color="auto" w:sz="12" w:space="0"/>
              <w:right w:val="single" w:color="auto" w:sz="4" w:space="0"/>
            </w:tcBorders>
          </w:tcPr>
          <w:p>
            <w:pPr>
              <w:pStyle w:val="15"/>
              <w:jc w:val="center"/>
              <w:rPr>
                <w:rFonts w:hAnsi="宋体"/>
                <w:color w:val="000000"/>
              </w:rPr>
            </w:pPr>
          </w:p>
        </w:tc>
        <w:tc>
          <w:tcPr>
            <w:tcW w:w="840" w:type="dxa"/>
            <w:tcBorders>
              <w:top w:val="single" w:color="auto" w:sz="4" w:space="0"/>
              <w:left w:val="single" w:color="auto" w:sz="4" w:space="0"/>
              <w:bottom w:val="single" w:color="auto" w:sz="12" w:space="0"/>
              <w:right w:val="single" w:color="auto" w:sz="4" w:space="0"/>
            </w:tcBorders>
          </w:tcPr>
          <w:p>
            <w:pPr>
              <w:pStyle w:val="15"/>
              <w:jc w:val="center"/>
              <w:rPr>
                <w:rFonts w:hAnsi="宋体"/>
                <w:color w:val="000000"/>
              </w:rPr>
            </w:pPr>
          </w:p>
        </w:tc>
        <w:tc>
          <w:tcPr>
            <w:tcW w:w="735" w:type="dxa"/>
            <w:tcBorders>
              <w:top w:val="single" w:color="auto" w:sz="4" w:space="0"/>
              <w:left w:val="single" w:color="auto" w:sz="4" w:space="0"/>
              <w:bottom w:val="single" w:color="auto" w:sz="12" w:space="0"/>
              <w:right w:val="single" w:color="auto" w:sz="4" w:space="0"/>
            </w:tcBorders>
          </w:tcPr>
          <w:p>
            <w:pPr>
              <w:pStyle w:val="15"/>
              <w:jc w:val="center"/>
              <w:rPr>
                <w:rFonts w:hAnsi="宋体"/>
                <w:color w:val="000000"/>
              </w:rPr>
            </w:pPr>
          </w:p>
        </w:tc>
        <w:tc>
          <w:tcPr>
            <w:tcW w:w="840" w:type="dxa"/>
            <w:tcBorders>
              <w:top w:val="single" w:color="auto" w:sz="4" w:space="0"/>
              <w:left w:val="single" w:color="auto" w:sz="4" w:space="0"/>
              <w:bottom w:val="single" w:color="auto" w:sz="12" w:space="0"/>
              <w:right w:val="single" w:color="auto" w:sz="4" w:space="0"/>
            </w:tcBorders>
          </w:tcPr>
          <w:p>
            <w:pPr>
              <w:pStyle w:val="15"/>
              <w:jc w:val="center"/>
              <w:rPr>
                <w:rFonts w:hAnsi="宋体"/>
                <w:color w:val="000000"/>
              </w:rPr>
            </w:pPr>
          </w:p>
        </w:tc>
        <w:tc>
          <w:tcPr>
            <w:tcW w:w="855" w:type="dxa"/>
            <w:tcBorders>
              <w:top w:val="single" w:color="000000" w:sz="4" w:space="0"/>
              <w:left w:val="single" w:color="auto" w:sz="4" w:space="0"/>
              <w:bottom w:val="single" w:color="auto" w:sz="12" w:space="0"/>
              <w:right w:val="single" w:color="auto" w:sz="4" w:space="0"/>
            </w:tcBorders>
          </w:tcPr>
          <w:p>
            <w:pPr>
              <w:pStyle w:val="15"/>
              <w:jc w:val="center"/>
              <w:rPr>
                <w:rFonts w:hAnsi="宋体"/>
                <w:color w:val="000000"/>
              </w:rPr>
            </w:pPr>
          </w:p>
        </w:tc>
        <w:tc>
          <w:tcPr>
            <w:tcW w:w="1080" w:type="dxa"/>
            <w:tcBorders>
              <w:top w:val="single" w:color="000000" w:sz="4" w:space="0"/>
              <w:left w:val="single" w:color="auto" w:sz="4" w:space="0"/>
              <w:bottom w:val="single" w:color="auto" w:sz="12" w:space="0"/>
              <w:right w:val="single" w:color="000000" w:sz="12" w:space="0"/>
            </w:tcBorders>
          </w:tcPr>
          <w:p>
            <w:pPr>
              <w:pStyle w:val="15"/>
              <w:jc w:val="center"/>
              <w:rPr>
                <w:rFonts w:hAnsi="宋体"/>
                <w:color w:val="000000"/>
              </w:rPr>
            </w:pPr>
          </w:p>
        </w:tc>
      </w:tr>
    </w:tbl>
    <w:p>
      <w:pPr>
        <w:pStyle w:val="18"/>
        <w:spacing w:line="440" w:lineRule="exact"/>
        <w:ind w:right="-109" w:rightChars="-52" w:firstLine="357" w:firstLineChars="170"/>
      </w:pPr>
      <w:r>
        <w:t>有下述情况之一的，评标委员会认定其为不合格投标人：</w:t>
      </w:r>
    </w:p>
    <w:p>
      <w:pPr>
        <w:pStyle w:val="18"/>
        <w:spacing w:line="440" w:lineRule="exact"/>
        <w:ind w:right="-109" w:rightChars="-52" w:firstLine="357" w:firstLineChars="170"/>
      </w:pPr>
      <w:r>
        <w:t>（1） 投标文件载明的投标范围小于</w:t>
      </w:r>
      <w:r>
        <w:rPr>
          <w:rFonts w:hint="eastAsia"/>
        </w:rPr>
        <w:t>或者大于</w:t>
      </w:r>
      <w:r>
        <w:t>招标文件规定的招标范围的；</w:t>
      </w:r>
    </w:p>
    <w:p>
      <w:pPr>
        <w:pStyle w:val="18"/>
        <w:spacing w:line="440" w:lineRule="exact"/>
        <w:ind w:right="-109" w:rightChars="-52" w:firstLine="357" w:firstLineChars="170"/>
      </w:pPr>
      <w:r>
        <w:t>（2） 投标文件载明的</w:t>
      </w:r>
      <w:r>
        <w:rPr>
          <w:rFonts w:hint="eastAsia"/>
        </w:rPr>
        <w:t>服务</w:t>
      </w:r>
      <w:r>
        <w:t>承诺低于招标文件规定的；</w:t>
      </w:r>
    </w:p>
    <w:p>
      <w:pPr>
        <w:pStyle w:val="18"/>
        <w:spacing w:line="440" w:lineRule="exact"/>
        <w:ind w:right="-109" w:rightChars="-52" w:firstLine="357" w:firstLineChars="170"/>
      </w:pPr>
      <w:r>
        <w:t>（3） 投标文件载明的</w:t>
      </w:r>
      <w:r>
        <w:rPr>
          <w:rFonts w:hint="eastAsia"/>
        </w:rPr>
        <w:t>经营期限</w:t>
      </w:r>
      <w:r>
        <w:t>超过招标文件规定的；</w:t>
      </w:r>
    </w:p>
    <w:p>
      <w:pPr>
        <w:pStyle w:val="18"/>
        <w:spacing w:line="440" w:lineRule="exact"/>
        <w:ind w:right="-109" w:rightChars="-52" w:firstLine="357" w:firstLineChars="170"/>
      </w:pPr>
      <w:r>
        <w:t>（4） 投标文件附有招标人不能接受的条件的；</w:t>
      </w:r>
    </w:p>
    <w:p>
      <w:pPr>
        <w:pStyle w:val="18"/>
        <w:spacing w:line="440" w:lineRule="exact"/>
        <w:ind w:right="-109" w:rightChars="-52" w:firstLine="357" w:firstLineChars="170"/>
      </w:pPr>
      <w:r>
        <w:t>（5） 其它未能实质响应招标文件条件和要求的。</w:t>
      </w:r>
    </w:p>
    <w:p>
      <w:pPr>
        <w:pStyle w:val="18"/>
        <w:spacing w:line="440" w:lineRule="exact"/>
        <w:ind w:right="-109" w:rightChars="-52" w:firstLine="357" w:firstLineChars="170"/>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r>
        <w:rPr>
          <w:rFonts w:hint="eastAsia"/>
          <w:b/>
          <w:bCs/>
          <w:color w:val="000000"/>
          <w:sz w:val="30"/>
        </w:rPr>
        <w:t>附件四</w:t>
      </w:r>
    </w:p>
    <w:p>
      <w:pPr>
        <w:ind w:right="-1413" w:rightChars="-673"/>
        <w:rPr>
          <w:bCs/>
          <w:color w:val="000000"/>
          <w:sz w:val="44"/>
          <w:vertAlign w:val="subscript"/>
        </w:rPr>
      </w:pPr>
      <w:r>
        <w:rPr>
          <w:rFonts w:hint="eastAsia"/>
          <w:bCs/>
          <w:color w:val="000000"/>
          <w:sz w:val="44"/>
          <w:vertAlign w:val="subscript"/>
        </w:rPr>
        <w:t xml:space="preserve">                             </w:t>
      </w:r>
      <w:r>
        <w:rPr>
          <w:b/>
          <w:color w:val="000000"/>
          <w:sz w:val="30"/>
        </w:rPr>
        <w:t>不合格投标人</w:t>
      </w:r>
      <w:r>
        <w:rPr>
          <w:rFonts w:hint="eastAsia"/>
          <w:b/>
          <w:color w:val="000000"/>
          <w:sz w:val="30"/>
        </w:rPr>
        <w:t>情况</w:t>
      </w:r>
      <w:r>
        <w:rPr>
          <w:b/>
          <w:color w:val="000000"/>
          <w:sz w:val="30"/>
        </w:rPr>
        <w:t xml:space="preserve">表 </w:t>
      </w:r>
      <w:r>
        <w:rPr>
          <w:b/>
          <w:color w:val="000000"/>
          <w:sz w:val="32"/>
        </w:rPr>
        <w:t xml:space="preserve">         </w:t>
      </w:r>
    </w:p>
    <w:p>
      <w:pPr>
        <w:rPr>
          <w:color w:val="000000"/>
          <w:sz w:val="18"/>
          <w:szCs w:val="20"/>
        </w:rPr>
      </w:pPr>
      <w:r>
        <w:rPr>
          <w:b/>
          <w:color w:val="000000"/>
          <w:sz w:val="32"/>
        </w:rPr>
        <w:t xml:space="preserve">                                        </w:t>
      </w:r>
    </w:p>
    <w:tbl>
      <w:tblPr>
        <w:tblStyle w:val="3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65"/>
        <w:gridCol w:w="5715"/>
      </w:tblGrid>
      <w:tr>
        <w:tblPrEx>
          <w:tblCellMar>
            <w:top w:w="0" w:type="dxa"/>
            <w:left w:w="108" w:type="dxa"/>
            <w:bottom w:w="0" w:type="dxa"/>
            <w:right w:w="108" w:type="dxa"/>
          </w:tblCellMar>
        </w:tblPrEx>
        <w:trPr>
          <w:cantSplit/>
          <w:trHeight w:val="660" w:hRule="atLeast"/>
        </w:trPr>
        <w:tc>
          <w:tcPr>
            <w:tcW w:w="3465" w:type="dxa"/>
            <w:tcBorders>
              <w:top w:val="single" w:color="auto" w:sz="12" w:space="0"/>
              <w:left w:val="single" w:color="auto" w:sz="12" w:space="0"/>
              <w:bottom w:val="single" w:color="auto" w:sz="4" w:space="0"/>
              <w:right w:val="single" w:color="auto" w:sz="4" w:space="0"/>
            </w:tcBorders>
            <w:vAlign w:val="center"/>
          </w:tcPr>
          <w:p>
            <w:pPr>
              <w:ind w:firstLine="960" w:firstLineChars="400"/>
              <w:jc w:val="center"/>
              <w:rPr>
                <w:color w:val="000000"/>
                <w:sz w:val="24"/>
                <w:szCs w:val="20"/>
              </w:rPr>
            </w:pPr>
            <w:r>
              <w:rPr>
                <w:color w:val="000000"/>
                <w:sz w:val="24"/>
              </w:rPr>
              <w:t>投 标 人</w:t>
            </w:r>
          </w:p>
        </w:tc>
        <w:tc>
          <w:tcPr>
            <w:tcW w:w="5715" w:type="dxa"/>
            <w:tcBorders>
              <w:top w:val="single" w:color="auto" w:sz="12" w:space="0"/>
              <w:left w:val="single" w:color="auto" w:sz="4" w:space="0"/>
              <w:bottom w:val="single" w:color="auto" w:sz="4" w:space="0"/>
              <w:right w:val="single" w:color="auto" w:sz="12" w:space="0"/>
            </w:tcBorders>
            <w:vAlign w:val="center"/>
          </w:tcPr>
          <w:p>
            <w:pPr>
              <w:jc w:val="center"/>
              <w:rPr>
                <w:color w:val="000000"/>
                <w:sz w:val="24"/>
                <w:szCs w:val="20"/>
              </w:rPr>
            </w:pPr>
            <w:r>
              <w:rPr>
                <w:color w:val="000000"/>
                <w:sz w:val="24"/>
              </w:rPr>
              <w:t>不合格情况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5" w:hRule="atLeast"/>
        </w:trPr>
        <w:tc>
          <w:tcPr>
            <w:tcW w:w="3465" w:type="dxa"/>
            <w:tcBorders>
              <w:top w:val="single" w:color="auto" w:sz="4" w:space="0"/>
              <w:left w:val="single" w:color="auto" w:sz="12" w:space="0"/>
              <w:bottom w:val="single" w:color="auto" w:sz="4" w:space="0"/>
              <w:right w:val="single" w:color="auto" w:sz="4" w:space="0"/>
            </w:tcBorders>
          </w:tcPr>
          <w:p>
            <w:pPr>
              <w:ind w:firstLine="1684"/>
              <w:rPr>
                <w:color w:val="000000"/>
                <w:sz w:val="28"/>
                <w:szCs w:val="20"/>
              </w:rPr>
            </w:pPr>
          </w:p>
        </w:tc>
        <w:tc>
          <w:tcPr>
            <w:tcW w:w="5715" w:type="dxa"/>
            <w:tcBorders>
              <w:top w:val="single" w:color="auto" w:sz="4" w:space="0"/>
              <w:left w:val="single" w:color="auto" w:sz="4" w:space="0"/>
              <w:bottom w:val="single" w:color="auto" w:sz="4" w:space="0"/>
              <w:right w:val="single" w:color="auto" w:sz="12" w:space="0"/>
            </w:tcBorders>
          </w:tcPr>
          <w:p>
            <w:pPr>
              <w:rPr>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6" w:hRule="atLeast"/>
        </w:trPr>
        <w:tc>
          <w:tcPr>
            <w:tcW w:w="3465" w:type="dxa"/>
            <w:tcBorders>
              <w:top w:val="single" w:color="auto" w:sz="4" w:space="0"/>
              <w:left w:val="single" w:color="auto" w:sz="12" w:space="0"/>
              <w:bottom w:val="single" w:color="auto" w:sz="4" w:space="0"/>
              <w:right w:val="single" w:color="auto" w:sz="4" w:space="0"/>
            </w:tcBorders>
          </w:tcPr>
          <w:p>
            <w:pPr>
              <w:rPr>
                <w:color w:val="000000"/>
                <w:sz w:val="28"/>
                <w:szCs w:val="20"/>
              </w:rPr>
            </w:pPr>
          </w:p>
        </w:tc>
        <w:tc>
          <w:tcPr>
            <w:tcW w:w="5715" w:type="dxa"/>
            <w:tcBorders>
              <w:top w:val="single" w:color="auto" w:sz="4" w:space="0"/>
              <w:left w:val="single" w:color="auto" w:sz="4" w:space="0"/>
              <w:bottom w:val="single" w:color="auto" w:sz="4" w:space="0"/>
              <w:right w:val="single" w:color="auto" w:sz="12" w:space="0"/>
            </w:tcBorders>
          </w:tcPr>
          <w:p>
            <w:pPr>
              <w:rPr>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9" w:hRule="atLeast"/>
        </w:trPr>
        <w:tc>
          <w:tcPr>
            <w:tcW w:w="3465" w:type="dxa"/>
            <w:tcBorders>
              <w:top w:val="single" w:color="auto" w:sz="4" w:space="0"/>
              <w:left w:val="single" w:color="auto" w:sz="12" w:space="0"/>
              <w:bottom w:val="single" w:color="auto" w:sz="4" w:space="0"/>
              <w:right w:val="single" w:color="auto" w:sz="4" w:space="0"/>
            </w:tcBorders>
          </w:tcPr>
          <w:p>
            <w:pPr>
              <w:rPr>
                <w:color w:val="000000"/>
                <w:sz w:val="28"/>
                <w:szCs w:val="20"/>
              </w:rPr>
            </w:pPr>
          </w:p>
        </w:tc>
        <w:tc>
          <w:tcPr>
            <w:tcW w:w="5715" w:type="dxa"/>
            <w:tcBorders>
              <w:top w:val="single" w:color="auto" w:sz="4" w:space="0"/>
              <w:left w:val="single" w:color="auto" w:sz="4" w:space="0"/>
              <w:bottom w:val="single" w:color="auto" w:sz="4" w:space="0"/>
              <w:right w:val="single" w:color="auto" w:sz="12" w:space="0"/>
            </w:tcBorders>
          </w:tcPr>
          <w:p>
            <w:pPr>
              <w:rPr>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9" w:hRule="atLeast"/>
        </w:trPr>
        <w:tc>
          <w:tcPr>
            <w:tcW w:w="3465" w:type="dxa"/>
            <w:tcBorders>
              <w:top w:val="single" w:color="auto" w:sz="4" w:space="0"/>
              <w:left w:val="single" w:color="auto" w:sz="12" w:space="0"/>
              <w:bottom w:val="single" w:color="auto" w:sz="4" w:space="0"/>
              <w:right w:val="single" w:color="auto" w:sz="4" w:space="0"/>
            </w:tcBorders>
          </w:tcPr>
          <w:p>
            <w:pPr>
              <w:rPr>
                <w:color w:val="000000"/>
                <w:sz w:val="28"/>
                <w:szCs w:val="20"/>
              </w:rPr>
            </w:pPr>
          </w:p>
        </w:tc>
        <w:tc>
          <w:tcPr>
            <w:tcW w:w="5715" w:type="dxa"/>
            <w:tcBorders>
              <w:top w:val="single" w:color="auto" w:sz="4" w:space="0"/>
              <w:left w:val="single" w:color="auto" w:sz="4" w:space="0"/>
              <w:bottom w:val="single" w:color="auto" w:sz="4" w:space="0"/>
              <w:right w:val="single" w:color="auto" w:sz="12" w:space="0"/>
            </w:tcBorders>
          </w:tcPr>
          <w:p>
            <w:pPr>
              <w:rPr>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1" w:hRule="atLeast"/>
        </w:trPr>
        <w:tc>
          <w:tcPr>
            <w:tcW w:w="3465" w:type="dxa"/>
            <w:tcBorders>
              <w:top w:val="single" w:color="auto" w:sz="4" w:space="0"/>
              <w:left w:val="single" w:color="auto" w:sz="12" w:space="0"/>
              <w:bottom w:val="single" w:color="auto" w:sz="12" w:space="0"/>
              <w:right w:val="single" w:color="auto" w:sz="4" w:space="0"/>
            </w:tcBorders>
          </w:tcPr>
          <w:p>
            <w:pPr>
              <w:rPr>
                <w:color w:val="000000"/>
                <w:sz w:val="28"/>
                <w:szCs w:val="20"/>
              </w:rPr>
            </w:pPr>
          </w:p>
        </w:tc>
        <w:tc>
          <w:tcPr>
            <w:tcW w:w="5715" w:type="dxa"/>
            <w:tcBorders>
              <w:top w:val="single" w:color="auto" w:sz="4" w:space="0"/>
              <w:left w:val="single" w:color="auto" w:sz="4" w:space="0"/>
              <w:bottom w:val="single" w:color="auto" w:sz="12" w:space="0"/>
              <w:right w:val="single" w:color="auto" w:sz="12" w:space="0"/>
            </w:tcBorders>
          </w:tcPr>
          <w:p>
            <w:pPr>
              <w:rPr>
                <w:color w:val="000000"/>
                <w:szCs w:val="20"/>
              </w:rPr>
            </w:pPr>
          </w:p>
        </w:tc>
      </w:tr>
    </w:tbl>
    <w:p>
      <w:pPr>
        <w:pStyle w:val="15"/>
        <w:jc w:val="left"/>
        <w:rPr>
          <w:rFonts w:hAnsi="宋体"/>
          <w:color w:val="00000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r>
        <w:rPr>
          <w:rFonts w:hint="eastAsia"/>
          <w:b/>
          <w:bCs/>
          <w:color w:val="000000"/>
          <w:sz w:val="30"/>
        </w:rPr>
        <w:t>附件五</w:t>
      </w:r>
    </w:p>
    <w:p>
      <w:pPr>
        <w:ind w:right="-1413" w:rightChars="-673"/>
        <w:rPr>
          <w:b/>
          <w:color w:val="000000"/>
        </w:rPr>
      </w:pPr>
    </w:p>
    <w:p>
      <w:pPr>
        <w:ind w:right="-1413" w:rightChars="-673"/>
        <w:rPr>
          <w:bCs/>
          <w:color w:val="000000"/>
          <w:sz w:val="44"/>
          <w:szCs w:val="20"/>
          <w:vertAlign w:val="subscript"/>
        </w:rPr>
      </w:pPr>
      <w:r>
        <w:rPr>
          <w:rFonts w:hint="eastAsia"/>
          <w:b/>
          <w:color w:val="000000"/>
        </w:rPr>
        <w:t xml:space="preserve">                          </w:t>
      </w:r>
      <w:r>
        <w:rPr>
          <w:b/>
          <w:color w:val="000000"/>
          <w:sz w:val="30"/>
        </w:rPr>
        <w:t>进入详细评审的投标人名单表</w:t>
      </w:r>
      <w:r>
        <w:rPr>
          <w:b/>
          <w:color w:val="000000"/>
          <w:sz w:val="32"/>
        </w:rPr>
        <w:t xml:space="preserve">  </w:t>
      </w:r>
      <w:r>
        <w:rPr>
          <w:b/>
          <w:color w:val="000000"/>
        </w:rPr>
        <w:t xml:space="preserve">      </w:t>
      </w:r>
    </w:p>
    <w:p>
      <w:pPr>
        <w:pStyle w:val="15"/>
        <w:jc w:val="center"/>
        <w:rPr>
          <w:rFonts w:hAnsi="宋体"/>
          <w:color w:val="000000"/>
          <w:sz w:val="18"/>
        </w:rPr>
      </w:pPr>
    </w:p>
    <w:tbl>
      <w:tblPr>
        <w:tblStyle w:val="3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7920"/>
      </w:tblGrid>
      <w:tr>
        <w:tblPrEx>
          <w:tblCellMar>
            <w:top w:w="0" w:type="dxa"/>
            <w:left w:w="108" w:type="dxa"/>
            <w:bottom w:w="0" w:type="dxa"/>
            <w:right w:w="108" w:type="dxa"/>
          </w:tblCellMar>
        </w:tblPrEx>
        <w:trPr>
          <w:trHeight w:val="547" w:hRule="atLeast"/>
        </w:trPr>
        <w:tc>
          <w:tcPr>
            <w:tcW w:w="1080" w:type="dxa"/>
            <w:tcBorders>
              <w:top w:val="single" w:color="000000" w:sz="12" w:space="0"/>
              <w:left w:val="single" w:color="000000" w:sz="12" w:space="0"/>
              <w:bottom w:val="single" w:color="auto" w:sz="4" w:space="0"/>
              <w:right w:val="single" w:color="auto" w:sz="4" w:space="0"/>
            </w:tcBorders>
            <w:vAlign w:val="center"/>
          </w:tcPr>
          <w:p>
            <w:pPr>
              <w:pStyle w:val="15"/>
              <w:jc w:val="center"/>
              <w:rPr>
                <w:rFonts w:hAnsi="宋体"/>
                <w:color w:val="000000"/>
                <w:sz w:val="24"/>
                <w:szCs w:val="24"/>
              </w:rPr>
            </w:pPr>
            <w:r>
              <w:rPr>
                <w:rFonts w:hAnsi="宋体"/>
                <w:color w:val="000000"/>
                <w:sz w:val="24"/>
                <w:szCs w:val="24"/>
              </w:rPr>
              <w:t>序号</w:t>
            </w:r>
          </w:p>
        </w:tc>
        <w:tc>
          <w:tcPr>
            <w:tcW w:w="7920" w:type="dxa"/>
            <w:tcBorders>
              <w:top w:val="single" w:color="000000" w:sz="12" w:space="0"/>
              <w:left w:val="single" w:color="auto" w:sz="4" w:space="0"/>
              <w:bottom w:val="single" w:color="auto" w:sz="4" w:space="0"/>
              <w:right w:val="single" w:color="auto" w:sz="12" w:space="0"/>
            </w:tcBorders>
            <w:vAlign w:val="center"/>
          </w:tcPr>
          <w:p>
            <w:pPr>
              <w:pStyle w:val="15"/>
              <w:jc w:val="center"/>
              <w:rPr>
                <w:rFonts w:hAnsi="宋体"/>
                <w:color w:val="000000"/>
                <w:sz w:val="24"/>
                <w:szCs w:val="24"/>
              </w:rPr>
            </w:pPr>
            <w:r>
              <w:rPr>
                <w:rFonts w:hAnsi="宋体"/>
                <w:color w:val="000000"/>
                <w:sz w:val="24"/>
                <w:szCs w:val="24"/>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1080"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7920" w:type="dxa"/>
            <w:tcBorders>
              <w:top w:val="single" w:color="auto" w:sz="4" w:space="0"/>
              <w:left w:val="single" w:color="auto" w:sz="4" w:space="0"/>
              <w:bottom w:val="single" w:color="auto" w:sz="4" w:space="0"/>
              <w:right w:val="single" w:color="auto"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1080"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7920" w:type="dxa"/>
            <w:tcBorders>
              <w:top w:val="single" w:color="auto" w:sz="4" w:space="0"/>
              <w:left w:val="single" w:color="auto" w:sz="4" w:space="0"/>
              <w:bottom w:val="single" w:color="auto" w:sz="4" w:space="0"/>
              <w:right w:val="single" w:color="auto"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080"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7920" w:type="dxa"/>
            <w:tcBorders>
              <w:top w:val="single" w:color="auto" w:sz="4" w:space="0"/>
              <w:left w:val="single" w:color="auto" w:sz="4" w:space="0"/>
              <w:bottom w:val="single" w:color="auto" w:sz="4" w:space="0"/>
              <w:right w:val="single" w:color="auto"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080" w:type="dxa"/>
            <w:tcBorders>
              <w:top w:val="single" w:color="auto" w:sz="4" w:space="0"/>
              <w:left w:val="single" w:color="000000" w:sz="12" w:space="0"/>
              <w:bottom w:val="single" w:color="auto" w:sz="4" w:space="0"/>
              <w:right w:val="single" w:color="auto" w:sz="4" w:space="0"/>
            </w:tcBorders>
          </w:tcPr>
          <w:p>
            <w:pPr>
              <w:pStyle w:val="15"/>
              <w:jc w:val="center"/>
              <w:rPr>
                <w:rFonts w:hAnsi="宋体"/>
                <w:color w:val="000000"/>
              </w:rPr>
            </w:pPr>
          </w:p>
        </w:tc>
        <w:tc>
          <w:tcPr>
            <w:tcW w:w="7920" w:type="dxa"/>
            <w:tcBorders>
              <w:top w:val="single" w:color="auto" w:sz="4" w:space="0"/>
              <w:left w:val="single" w:color="auto" w:sz="4" w:space="0"/>
              <w:bottom w:val="single" w:color="auto" w:sz="4" w:space="0"/>
              <w:right w:val="single" w:color="auto" w:sz="12" w:space="0"/>
            </w:tcBorders>
          </w:tcPr>
          <w:p>
            <w:pPr>
              <w:pStyle w:val="15"/>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080" w:type="dxa"/>
            <w:tcBorders>
              <w:top w:val="single" w:color="auto" w:sz="4" w:space="0"/>
              <w:left w:val="single" w:color="000000" w:sz="12" w:space="0"/>
              <w:bottom w:val="single" w:color="000000" w:sz="12" w:space="0"/>
              <w:right w:val="single" w:color="auto" w:sz="4" w:space="0"/>
            </w:tcBorders>
          </w:tcPr>
          <w:p>
            <w:pPr>
              <w:pStyle w:val="15"/>
              <w:jc w:val="center"/>
              <w:rPr>
                <w:rFonts w:hAnsi="宋体"/>
                <w:color w:val="000000"/>
              </w:rPr>
            </w:pPr>
          </w:p>
        </w:tc>
        <w:tc>
          <w:tcPr>
            <w:tcW w:w="7920" w:type="dxa"/>
            <w:tcBorders>
              <w:top w:val="single" w:color="auto" w:sz="4" w:space="0"/>
              <w:left w:val="single" w:color="auto" w:sz="4" w:space="0"/>
              <w:bottom w:val="single" w:color="000000" w:sz="12" w:space="0"/>
              <w:right w:val="single" w:color="auto" w:sz="12" w:space="0"/>
            </w:tcBorders>
          </w:tcPr>
          <w:p>
            <w:pPr>
              <w:pStyle w:val="15"/>
              <w:jc w:val="center"/>
              <w:rPr>
                <w:rFonts w:hAnsi="宋体"/>
                <w:color w:val="000000"/>
              </w:rPr>
            </w:pPr>
          </w:p>
        </w:tc>
      </w:tr>
    </w:tbl>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p>
    <w:p>
      <w:pPr>
        <w:ind w:right="-1413" w:rightChars="-673"/>
        <w:rPr>
          <w:b/>
          <w:bCs/>
          <w:color w:val="000000"/>
          <w:sz w:val="30"/>
        </w:rPr>
      </w:pPr>
      <w:r>
        <w:rPr>
          <w:rFonts w:hint="eastAsia"/>
          <w:b/>
          <w:bCs/>
          <w:color w:val="000000"/>
          <w:sz w:val="30"/>
        </w:rPr>
        <w:t>附件六</w:t>
      </w:r>
    </w:p>
    <w:p>
      <w:pPr>
        <w:ind w:right="-1413" w:rightChars="-673" w:firstLine="1946" w:firstLineChars="646"/>
        <w:rPr>
          <w:b/>
          <w:color w:val="000000"/>
          <w:sz w:val="30"/>
          <w:szCs w:val="30"/>
        </w:rPr>
      </w:pPr>
    </w:p>
    <w:p>
      <w:pPr>
        <w:ind w:right="-1413" w:rightChars="-673" w:firstLine="1946" w:firstLineChars="646"/>
        <w:rPr>
          <w:b/>
          <w:color w:val="000000"/>
          <w:sz w:val="30"/>
          <w:szCs w:val="30"/>
        </w:rPr>
      </w:pPr>
      <w:r>
        <w:rPr>
          <w:rFonts w:hint="eastAsia"/>
          <w:b/>
          <w:color w:val="000000"/>
          <w:sz w:val="30"/>
          <w:szCs w:val="30"/>
        </w:rPr>
        <w:t>经评审的投标人排序表及中标候选人情况</w:t>
      </w:r>
    </w:p>
    <w:p>
      <w:pPr>
        <w:jc w:val="center"/>
        <w:rPr>
          <w:b/>
          <w:sz w:val="30"/>
          <w:szCs w:val="30"/>
        </w:rPr>
      </w:pPr>
    </w:p>
    <w:tbl>
      <w:tblPr>
        <w:tblStyle w:val="33"/>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361"/>
        <w:gridCol w:w="1275"/>
        <w:gridCol w:w="1701"/>
        <w:gridCol w:w="2267"/>
        <w:gridCol w:w="1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008" w:type="dxa"/>
            <w:vAlign w:val="center"/>
          </w:tcPr>
          <w:p>
            <w:pPr>
              <w:jc w:val="center"/>
              <w:rPr>
                <w:bCs/>
                <w:sz w:val="24"/>
              </w:rPr>
            </w:pPr>
            <w:r>
              <w:rPr>
                <w:rFonts w:hint="eastAsia"/>
                <w:bCs/>
                <w:sz w:val="24"/>
              </w:rPr>
              <w:t>排序</w:t>
            </w:r>
          </w:p>
        </w:tc>
        <w:tc>
          <w:tcPr>
            <w:tcW w:w="2361" w:type="dxa"/>
            <w:vAlign w:val="center"/>
          </w:tcPr>
          <w:p>
            <w:pPr>
              <w:jc w:val="center"/>
              <w:rPr>
                <w:bCs/>
                <w:sz w:val="24"/>
              </w:rPr>
            </w:pPr>
            <w:r>
              <w:rPr>
                <w:rFonts w:hint="eastAsia"/>
                <w:bCs/>
                <w:sz w:val="24"/>
              </w:rPr>
              <w:t>投标人名称</w:t>
            </w:r>
          </w:p>
        </w:tc>
        <w:tc>
          <w:tcPr>
            <w:tcW w:w="1275" w:type="dxa"/>
            <w:vAlign w:val="center"/>
          </w:tcPr>
          <w:p>
            <w:pPr>
              <w:jc w:val="center"/>
              <w:rPr>
                <w:bCs/>
                <w:sz w:val="24"/>
              </w:rPr>
            </w:pPr>
            <w:r>
              <w:rPr>
                <w:rFonts w:hint="eastAsia"/>
                <w:bCs/>
                <w:sz w:val="24"/>
              </w:rPr>
              <w:t>总得分</w:t>
            </w:r>
          </w:p>
          <w:p>
            <w:pPr>
              <w:jc w:val="center"/>
              <w:rPr>
                <w:bCs/>
                <w:sz w:val="24"/>
              </w:rPr>
            </w:pPr>
            <w:r>
              <w:rPr>
                <w:rFonts w:hint="eastAsia"/>
                <w:bCs/>
                <w:sz w:val="24"/>
              </w:rPr>
              <w:t>情况</w:t>
            </w:r>
          </w:p>
        </w:tc>
        <w:tc>
          <w:tcPr>
            <w:tcW w:w="1701" w:type="dxa"/>
            <w:vAlign w:val="center"/>
          </w:tcPr>
          <w:p>
            <w:pPr>
              <w:jc w:val="center"/>
              <w:rPr>
                <w:bCs/>
                <w:sz w:val="24"/>
              </w:rPr>
            </w:pPr>
            <w:r>
              <w:rPr>
                <w:rFonts w:hint="eastAsia"/>
                <w:bCs/>
                <w:sz w:val="24"/>
              </w:rPr>
              <w:t>前三年起始承包金报价（元/㎡/月）</w:t>
            </w:r>
          </w:p>
        </w:tc>
        <w:tc>
          <w:tcPr>
            <w:tcW w:w="2267" w:type="dxa"/>
            <w:vAlign w:val="center"/>
          </w:tcPr>
          <w:p>
            <w:pPr>
              <w:jc w:val="center"/>
              <w:rPr>
                <w:bCs/>
                <w:sz w:val="24"/>
              </w:rPr>
            </w:pPr>
            <w:r>
              <w:rPr>
                <w:rFonts w:hint="eastAsia"/>
                <w:bCs/>
                <w:sz w:val="24"/>
              </w:rPr>
              <w:t>投标总报价</w:t>
            </w:r>
            <w:r>
              <w:rPr>
                <w:rFonts w:hint="eastAsia"/>
                <w:sz w:val="24"/>
              </w:rPr>
              <w:t xml:space="preserve"> </w:t>
            </w:r>
            <w:r>
              <w:rPr>
                <w:rFonts w:hint="eastAsia"/>
                <w:bCs/>
                <w:sz w:val="24"/>
              </w:rPr>
              <w:t>(元)</w:t>
            </w:r>
          </w:p>
        </w:tc>
        <w:tc>
          <w:tcPr>
            <w:tcW w:w="1216" w:type="dxa"/>
            <w:vAlign w:val="center"/>
          </w:tcPr>
          <w:p>
            <w:pPr>
              <w:jc w:val="center"/>
              <w:rPr>
                <w:bCs/>
                <w:sz w:val="24"/>
              </w:rPr>
            </w:pPr>
            <w:r>
              <w:rPr>
                <w:rFonts w:hint="eastAsia"/>
                <w:bCs/>
                <w:sz w:val="24"/>
              </w:rPr>
              <w:t>中标候选人情况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008" w:type="dxa"/>
            <w:vAlign w:val="center"/>
          </w:tcPr>
          <w:p>
            <w:pPr>
              <w:jc w:val="center"/>
              <w:rPr>
                <w:sz w:val="24"/>
              </w:rPr>
            </w:pPr>
          </w:p>
        </w:tc>
        <w:tc>
          <w:tcPr>
            <w:tcW w:w="2361" w:type="dxa"/>
            <w:vAlign w:val="center"/>
          </w:tcPr>
          <w:p>
            <w:pPr>
              <w:jc w:val="center"/>
              <w:rPr>
                <w:sz w:val="24"/>
              </w:rPr>
            </w:pPr>
          </w:p>
        </w:tc>
        <w:tc>
          <w:tcPr>
            <w:tcW w:w="1275" w:type="dxa"/>
            <w:vAlign w:val="center"/>
          </w:tcPr>
          <w:p>
            <w:pPr>
              <w:jc w:val="center"/>
              <w:rPr>
                <w:sz w:val="24"/>
              </w:rPr>
            </w:pPr>
          </w:p>
        </w:tc>
        <w:tc>
          <w:tcPr>
            <w:tcW w:w="1701" w:type="dxa"/>
            <w:vAlign w:val="center"/>
          </w:tcPr>
          <w:p>
            <w:pPr>
              <w:jc w:val="center"/>
              <w:rPr>
                <w:sz w:val="24"/>
              </w:rPr>
            </w:pPr>
          </w:p>
        </w:tc>
        <w:tc>
          <w:tcPr>
            <w:tcW w:w="2267" w:type="dxa"/>
            <w:vAlign w:val="center"/>
          </w:tcPr>
          <w:p>
            <w:pPr>
              <w:jc w:val="center"/>
              <w:rPr>
                <w:sz w:val="24"/>
              </w:rPr>
            </w:pPr>
          </w:p>
        </w:tc>
        <w:tc>
          <w:tcPr>
            <w:tcW w:w="12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08" w:type="dxa"/>
            <w:vAlign w:val="center"/>
          </w:tcPr>
          <w:p>
            <w:pPr>
              <w:jc w:val="center"/>
              <w:rPr>
                <w:sz w:val="24"/>
              </w:rPr>
            </w:pPr>
          </w:p>
        </w:tc>
        <w:tc>
          <w:tcPr>
            <w:tcW w:w="2361" w:type="dxa"/>
            <w:vAlign w:val="center"/>
          </w:tcPr>
          <w:p>
            <w:pPr>
              <w:jc w:val="center"/>
              <w:rPr>
                <w:sz w:val="24"/>
              </w:rPr>
            </w:pPr>
          </w:p>
        </w:tc>
        <w:tc>
          <w:tcPr>
            <w:tcW w:w="1275" w:type="dxa"/>
            <w:vAlign w:val="center"/>
          </w:tcPr>
          <w:p>
            <w:pPr>
              <w:jc w:val="center"/>
              <w:rPr>
                <w:sz w:val="24"/>
              </w:rPr>
            </w:pPr>
          </w:p>
        </w:tc>
        <w:tc>
          <w:tcPr>
            <w:tcW w:w="1701" w:type="dxa"/>
            <w:vAlign w:val="center"/>
          </w:tcPr>
          <w:p>
            <w:pPr>
              <w:jc w:val="center"/>
              <w:rPr>
                <w:sz w:val="24"/>
              </w:rPr>
            </w:pPr>
          </w:p>
        </w:tc>
        <w:tc>
          <w:tcPr>
            <w:tcW w:w="2267" w:type="dxa"/>
            <w:vAlign w:val="center"/>
          </w:tcPr>
          <w:p>
            <w:pPr>
              <w:jc w:val="center"/>
              <w:rPr>
                <w:sz w:val="24"/>
              </w:rPr>
            </w:pPr>
          </w:p>
        </w:tc>
        <w:tc>
          <w:tcPr>
            <w:tcW w:w="12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8" w:type="dxa"/>
            <w:vAlign w:val="center"/>
          </w:tcPr>
          <w:p>
            <w:pPr>
              <w:jc w:val="center"/>
              <w:rPr>
                <w:sz w:val="24"/>
              </w:rPr>
            </w:pPr>
          </w:p>
        </w:tc>
        <w:tc>
          <w:tcPr>
            <w:tcW w:w="2361" w:type="dxa"/>
            <w:vAlign w:val="center"/>
          </w:tcPr>
          <w:p>
            <w:pPr>
              <w:jc w:val="center"/>
              <w:rPr>
                <w:sz w:val="24"/>
              </w:rPr>
            </w:pPr>
          </w:p>
        </w:tc>
        <w:tc>
          <w:tcPr>
            <w:tcW w:w="1275" w:type="dxa"/>
            <w:vAlign w:val="center"/>
          </w:tcPr>
          <w:p>
            <w:pPr>
              <w:jc w:val="center"/>
              <w:rPr>
                <w:sz w:val="24"/>
              </w:rPr>
            </w:pPr>
          </w:p>
        </w:tc>
        <w:tc>
          <w:tcPr>
            <w:tcW w:w="1701" w:type="dxa"/>
            <w:vAlign w:val="center"/>
          </w:tcPr>
          <w:p>
            <w:pPr>
              <w:jc w:val="center"/>
              <w:rPr>
                <w:sz w:val="24"/>
              </w:rPr>
            </w:pPr>
          </w:p>
        </w:tc>
        <w:tc>
          <w:tcPr>
            <w:tcW w:w="2267" w:type="dxa"/>
            <w:vAlign w:val="center"/>
          </w:tcPr>
          <w:p>
            <w:pPr>
              <w:jc w:val="center"/>
              <w:rPr>
                <w:sz w:val="24"/>
              </w:rPr>
            </w:pPr>
          </w:p>
        </w:tc>
        <w:tc>
          <w:tcPr>
            <w:tcW w:w="12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08" w:type="dxa"/>
            <w:vAlign w:val="center"/>
          </w:tcPr>
          <w:p>
            <w:pPr>
              <w:jc w:val="center"/>
              <w:rPr>
                <w:sz w:val="24"/>
              </w:rPr>
            </w:pPr>
            <w:r>
              <w:rPr>
                <w:rFonts w:hint="eastAsia"/>
                <w:sz w:val="24"/>
              </w:rPr>
              <w:t>……</w:t>
            </w:r>
          </w:p>
        </w:tc>
        <w:tc>
          <w:tcPr>
            <w:tcW w:w="2361" w:type="dxa"/>
            <w:vAlign w:val="center"/>
          </w:tcPr>
          <w:p>
            <w:pPr>
              <w:jc w:val="center"/>
              <w:rPr>
                <w:sz w:val="24"/>
              </w:rPr>
            </w:pPr>
          </w:p>
        </w:tc>
        <w:tc>
          <w:tcPr>
            <w:tcW w:w="1275" w:type="dxa"/>
            <w:vAlign w:val="center"/>
          </w:tcPr>
          <w:p>
            <w:pPr>
              <w:jc w:val="center"/>
              <w:rPr>
                <w:sz w:val="24"/>
              </w:rPr>
            </w:pPr>
          </w:p>
        </w:tc>
        <w:tc>
          <w:tcPr>
            <w:tcW w:w="1701" w:type="dxa"/>
            <w:vAlign w:val="center"/>
          </w:tcPr>
          <w:p>
            <w:pPr>
              <w:jc w:val="center"/>
              <w:rPr>
                <w:sz w:val="24"/>
              </w:rPr>
            </w:pPr>
          </w:p>
        </w:tc>
        <w:tc>
          <w:tcPr>
            <w:tcW w:w="2267" w:type="dxa"/>
            <w:vAlign w:val="center"/>
          </w:tcPr>
          <w:p>
            <w:pPr>
              <w:jc w:val="center"/>
              <w:rPr>
                <w:sz w:val="24"/>
              </w:rPr>
            </w:pPr>
          </w:p>
        </w:tc>
        <w:tc>
          <w:tcPr>
            <w:tcW w:w="1216" w:type="dxa"/>
            <w:vAlign w:val="center"/>
          </w:tcPr>
          <w:p>
            <w:pPr>
              <w:jc w:val="center"/>
              <w:rPr>
                <w:sz w:val="24"/>
              </w:rPr>
            </w:pPr>
          </w:p>
        </w:tc>
      </w:tr>
    </w:tbl>
    <w:p>
      <w:pPr>
        <w:spacing w:line="500" w:lineRule="exact"/>
        <w:ind w:firstLine="480" w:firstLineChars="200"/>
        <w:rPr>
          <w:sz w:val="24"/>
        </w:rPr>
      </w:pPr>
    </w:p>
    <w:p>
      <w:pPr>
        <w:snapToGrid w:val="0"/>
        <w:spacing w:line="360" w:lineRule="auto"/>
        <w:rPr>
          <w:b/>
          <w:bCs/>
          <w:kern w:val="44"/>
          <w:sz w:val="44"/>
          <w:szCs w:val="44"/>
        </w:rPr>
      </w:pPr>
    </w:p>
    <w:sectPr>
      <w:headerReference r:id="rId3" w:type="default"/>
      <w:footerReference r:id="rId4" w:type="default"/>
      <w:footerReference r:id="rId5" w:type="even"/>
      <w:pgSz w:w="11906" w:h="16838"/>
      <w:pgMar w:top="1304" w:right="1134" w:bottom="1304" w:left="1134" w:header="907"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长城仿宋">
    <w:altName w:val="宋体"/>
    <w:panose1 w:val="00000000000000000000"/>
    <w:charset w:val="00"/>
    <w:family w:val="moder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separate"/>
    </w:r>
    <w:r>
      <w:rPr>
        <w:rStyle w:val="37"/>
      </w:rPr>
      <w:t>54</w:t>
    </w:r>
    <w:r>
      <w:fldChar w:fldCharType="end"/>
    </w:r>
  </w:p>
  <w:p>
    <w:pPr>
      <w:pStyle w:val="2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separate"/>
    </w:r>
    <w:r>
      <w:rPr>
        <w:rStyle w:val="37"/>
      </w:rPr>
      <w:t>5</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867" w:rightChars="-413"/>
      <w:rPr>
        <w:rFonts w:ascii="楷体_GB2312"/>
        <w:sz w:val="18"/>
        <w:szCs w:val="18"/>
        <w:u w:val="single"/>
      </w:rPr>
    </w:pPr>
    <w:r>
      <w:rPr>
        <w:rFonts w:hint="eastAsia" w:ascii="楷体_GB2312"/>
        <w:sz w:val="18"/>
        <w:szCs w:val="18"/>
        <w:u w:val="single"/>
      </w:rPr>
      <w:t xml:space="preserve">西中心T3裙楼购物中心1层至5层经营权项目  </w:t>
    </w:r>
    <w:r>
      <w:rPr>
        <w:rFonts w:hint="eastAsia"/>
        <w:sz w:val="18"/>
        <w:szCs w:val="18"/>
        <w:u w:val="single"/>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3FCF0"/>
    <w:multiLevelType w:val="singleLevel"/>
    <w:tmpl w:val="85C3FCF0"/>
    <w:lvl w:ilvl="0" w:tentative="0">
      <w:start w:val="3"/>
      <w:numFmt w:val="chineseCounting"/>
      <w:suff w:val="space"/>
      <w:lvlText w:val="第%1章"/>
      <w:lvlJc w:val="left"/>
      <w:pPr>
        <w:ind w:left="1546" w:firstLine="0"/>
      </w:pPr>
      <w:rPr>
        <w:rFonts w:hint="eastAsia"/>
      </w:rPr>
    </w:lvl>
  </w:abstractNum>
  <w:abstractNum w:abstractNumId="1">
    <w:nsid w:val="59EE9D0C"/>
    <w:multiLevelType w:val="singleLevel"/>
    <w:tmpl w:val="59EE9D0C"/>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A1D"/>
    <w:rsid w:val="0000748F"/>
    <w:rsid w:val="00015260"/>
    <w:rsid w:val="000206E1"/>
    <w:rsid w:val="000209AA"/>
    <w:rsid w:val="00025C23"/>
    <w:rsid w:val="00033D1D"/>
    <w:rsid w:val="00037AD5"/>
    <w:rsid w:val="0004402F"/>
    <w:rsid w:val="00044BDF"/>
    <w:rsid w:val="00066C43"/>
    <w:rsid w:val="00081E26"/>
    <w:rsid w:val="0008274D"/>
    <w:rsid w:val="00085B88"/>
    <w:rsid w:val="0008682B"/>
    <w:rsid w:val="00097089"/>
    <w:rsid w:val="000A6A23"/>
    <w:rsid w:val="000A7E90"/>
    <w:rsid w:val="000B11F6"/>
    <w:rsid w:val="000B6363"/>
    <w:rsid w:val="000C3119"/>
    <w:rsid w:val="000C6C82"/>
    <w:rsid w:val="000D1898"/>
    <w:rsid w:val="000D20EA"/>
    <w:rsid w:val="000D6507"/>
    <w:rsid w:val="000D6F8C"/>
    <w:rsid w:val="000E2F3D"/>
    <w:rsid w:val="000E35D5"/>
    <w:rsid w:val="000E3C6E"/>
    <w:rsid w:val="000E3EF8"/>
    <w:rsid w:val="000F571F"/>
    <w:rsid w:val="000F73C7"/>
    <w:rsid w:val="0010010F"/>
    <w:rsid w:val="001026C8"/>
    <w:rsid w:val="001103D3"/>
    <w:rsid w:val="00110F8F"/>
    <w:rsid w:val="00113F58"/>
    <w:rsid w:val="001158D0"/>
    <w:rsid w:val="0012196F"/>
    <w:rsid w:val="001263C7"/>
    <w:rsid w:val="00130184"/>
    <w:rsid w:val="00143449"/>
    <w:rsid w:val="001443BC"/>
    <w:rsid w:val="001500BD"/>
    <w:rsid w:val="00156055"/>
    <w:rsid w:val="00157B40"/>
    <w:rsid w:val="001609C4"/>
    <w:rsid w:val="00165338"/>
    <w:rsid w:val="00172A27"/>
    <w:rsid w:val="0017380C"/>
    <w:rsid w:val="001748F3"/>
    <w:rsid w:val="00175E8B"/>
    <w:rsid w:val="00181FFE"/>
    <w:rsid w:val="00182D2C"/>
    <w:rsid w:val="00183B77"/>
    <w:rsid w:val="00191993"/>
    <w:rsid w:val="00194501"/>
    <w:rsid w:val="00194672"/>
    <w:rsid w:val="001A29B5"/>
    <w:rsid w:val="001A3337"/>
    <w:rsid w:val="001A494D"/>
    <w:rsid w:val="001A6E81"/>
    <w:rsid w:val="001B30C3"/>
    <w:rsid w:val="001B677E"/>
    <w:rsid w:val="001C26B9"/>
    <w:rsid w:val="001C34DB"/>
    <w:rsid w:val="001C61D1"/>
    <w:rsid w:val="001D07EC"/>
    <w:rsid w:val="001D0AA0"/>
    <w:rsid w:val="001D2011"/>
    <w:rsid w:val="001D69B4"/>
    <w:rsid w:val="001D6B50"/>
    <w:rsid w:val="001E111F"/>
    <w:rsid w:val="001E254F"/>
    <w:rsid w:val="001E76C0"/>
    <w:rsid w:val="001F240B"/>
    <w:rsid w:val="001F6BBC"/>
    <w:rsid w:val="001F746B"/>
    <w:rsid w:val="001F7985"/>
    <w:rsid w:val="00200355"/>
    <w:rsid w:val="00200CF9"/>
    <w:rsid w:val="00206030"/>
    <w:rsid w:val="0020614B"/>
    <w:rsid w:val="00206CE9"/>
    <w:rsid w:val="00212AF5"/>
    <w:rsid w:val="00212B8A"/>
    <w:rsid w:val="0021321E"/>
    <w:rsid w:val="00214D3E"/>
    <w:rsid w:val="0022031D"/>
    <w:rsid w:val="002218A3"/>
    <w:rsid w:val="00223B15"/>
    <w:rsid w:val="002264E8"/>
    <w:rsid w:val="0023281E"/>
    <w:rsid w:val="002366E5"/>
    <w:rsid w:val="0024577F"/>
    <w:rsid w:val="002463CB"/>
    <w:rsid w:val="002555F5"/>
    <w:rsid w:val="002605FD"/>
    <w:rsid w:val="00261708"/>
    <w:rsid w:val="00264E30"/>
    <w:rsid w:val="002734E1"/>
    <w:rsid w:val="0027555B"/>
    <w:rsid w:val="00275E6E"/>
    <w:rsid w:val="002837DF"/>
    <w:rsid w:val="00285A41"/>
    <w:rsid w:val="00294019"/>
    <w:rsid w:val="002977DB"/>
    <w:rsid w:val="002A7833"/>
    <w:rsid w:val="002B290F"/>
    <w:rsid w:val="002B4567"/>
    <w:rsid w:val="002B5106"/>
    <w:rsid w:val="002B6761"/>
    <w:rsid w:val="002B6B04"/>
    <w:rsid w:val="002B74CB"/>
    <w:rsid w:val="002C14C7"/>
    <w:rsid w:val="002C1A7B"/>
    <w:rsid w:val="002C2A08"/>
    <w:rsid w:val="002C3CF3"/>
    <w:rsid w:val="002C53BB"/>
    <w:rsid w:val="002C68CC"/>
    <w:rsid w:val="002D00DF"/>
    <w:rsid w:val="002D1280"/>
    <w:rsid w:val="002D578E"/>
    <w:rsid w:val="002D58AF"/>
    <w:rsid w:val="002E3578"/>
    <w:rsid w:val="002E4A4B"/>
    <w:rsid w:val="002E64D0"/>
    <w:rsid w:val="002F13B1"/>
    <w:rsid w:val="002F7E0A"/>
    <w:rsid w:val="0030426C"/>
    <w:rsid w:val="00310994"/>
    <w:rsid w:val="003147F0"/>
    <w:rsid w:val="00334ED6"/>
    <w:rsid w:val="003507C0"/>
    <w:rsid w:val="00364882"/>
    <w:rsid w:val="00365EDE"/>
    <w:rsid w:val="00365F3E"/>
    <w:rsid w:val="00371E73"/>
    <w:rsid w:val="00374FE4"/>
    <w:rsid w:val="0037570D"/>
    <w:rsid w:val="00380FC0"/>
    <w:rsid w:val="00381A8E"/>
    <w:rsid w:val="00382B84"/>
    <w:rsid w:val="003839ED"/>
    <w:rsid w:val="003854B5"/>
    <w:rsid w:val="003870B3"/>
    <w:rsid w:val="003923A6"/>
    <w:rsid w:val="003926FD"/>
    <w:rsid w:val="00393717"/>
    <w:rsid w:val="0039446B"/>
    <w:rsid w:val="00395D57"/>
    <w:rsid w:val="00396AFB"/>
    <w:rsid w:val="003974D3"/>
    <w:rsid w:val="003A1F7C"/>
    <w:rsid w:val="003A4E91"/>
    <w:rsid w:val="003B0351"/>
    <w:rsid w:val="003B475C"/>
    <w:rsid w:val="003B7EBA"/>
    <w:rsid w:val="003C1EDF"/>
    <w:rsid w:val="003C55C3"/>
    <w:rsid w:val="003D0289"/>
    <w:rsid w:val="003D083B"/>
    <w:rsid w:val="003D0A42"/>
    <w:rsid w:val="003D21E3"/>
    <w:rsid w:val="003E4F18"/>
    <w:rsid w:val="003E6543"/>
    <w:rsid w:val="003F46C3"/>
    <w:rsid w:val="003F4CA1"/>
    <w:rsid w:val="003F6D05"/>
    <w:rsid w:val="003F74B5"/>
    <w:rsid w:val="00403036"/>
    <w:rsid w:val="004034E9"/>
    <w:rsid w:val="00407A5A"/>
    <w:rsid w:val="00412462"/>
    <w:rsid w:val="0041376B"/>
    <w:rsid w:val="004167F1"/>
    <w:rsid w:val="0041718E"/>
    <w:rsid w:val="0042469B"/>
    <w:rsid w:val="00426AF6"/>
    <w:rsid w:val="0042771A"/>
    <w:rsid w:val="00434835"/>
    <w:rsid w:val="0043591D"/>
    <w:rsid w:val="0043705D"/>
    <w:rsid w:val="00441E1D"/>
    <w:rsid w:val="0045537D"/>
    <w:rsid w:val="00460107"/>
    <w:rsid w:val="004603B1"/>
    <w:rsid w:val="0046267A"/>
    <w:rsid w:val="004651A8"/>
    <w:rsid w:val="00467153"/>
    <w:rsid w:val="00470A41"/>
    <w:rsid w:val="0047327C"/>
    <w:rsid w:val="00477B42"/>
    <w:rsid w:val="004827EB"/>
    <w:rsid w:val="00496625"/>
    <w:rsid w:val="004974F2"/>
    <w:rsid w:val="00497AE8"/>
    <w:rsid w:val="004A4C1F"/>
    <w:rsid w:val="004B149A"/>
    <w:rsid w:val="004B1822"/>
    <w:rsid w:val="004B67D3"/>
    <w:rsid w:val="004B7E82"/>
    <w:rsid w:val="004C357A"/>
    <w:rsid w:val="004C7CC9"/>
    <w:rsid w:val="004C7F2E"/>
    <w:rsid w:val="004D5984"/>
    <w:rsid w:val="004D5D08"/>
    <w:rsid w:val="004D6BB2"/>
    <w:rsid w:val="004D75A6"/>
    <w:rsid w:val="004F216B"/>
    <w:rsid w:val="004F2AEC"/>
    <w:rsid w:val="004F5A13"/>
    <w:rsid w:val="004F7128"/>
    <w:rsid w:val="00500ED1"/>
    <w:rsid w:val="00501D47"/>
    <w:rsid w:val="00504B6D"/>
    <w:rsid w:val="0051021A"/>
    <w:rsid w:val="0051028C"/>
    <w:rsid w:val="00525EBF"/>
    <w:rsid w:val="005270AB"/>
    <w:rsid w:val="0053002F"/>
    <w:rsid w:val="005320FF"/>
    <w:rsid w:val="0053704D"/>
    <w:rsid w:val="0055376E"/>
    <w:rsid w:val="00571925"/>
    <w:rsid w:val="0057316A"/>
    <w:rsid w:val="00574EAA"/>
    <w:rsid w:val="00580EDE"/>
    <w:rsid w:val="005905EA"/>
    <w:rsid w:val="00594E3D"/>
    <w:rsid w:val="00595404"/>
    <w:rsid w:val="005961BE"/>
    <w:rsid w:val="005A0C26"/>
    <w:rsid w:val="005A0FD2"/>
    <w:rsid w:val="005A1D5D"/>
    <w:rsid w:val="005A2A9B"/>
    <w:rsid w:val="005A383E"/>
    <w:rsid w:val="005A3ACE"/>
    <w:rsid w:val="005A3E2B"/>
    <w:rsid w:val="005A4B4F"/>
    <w:rsid w:val="005B1729"/>
    <w:rsid w:val="005C0A88"/>
    <w:rsid w:val="005C6E9B"/>
    <w:rsid w:val="005C6F77"/>
    <w:rsid w:val="005D1A1E"/>
    <w:rsid w:val="005D3B8A"/>
    <w:rsid w:val="005D511C"/>
    <w:rsid w:val="005D5799"/>
    <w:rsid w:val="005D5DE0"/>
    <w:rsid w:val="005D7059"/>
    <w:rsid w:val="005E1F5C"/>
    <w:rsid w:val="005E2EBA"/>
    <w:rsid w:val="005E3B84"/>
    <w:rsid w:val="005E7A8E"/>
    <w:rsid w:val="005F1539"/>
    <w:rsid w:val="005F1729"/>
    <w:rsid w:val="005F1D1E"/>
    <w:rsid w:val="005F6533"/>
    <w:rsid w:val="005F7B08"/>
    <w:rsid w:val="00602F65"/>
    <w:rsid w:val="006047B4"/>
    <w:rsid w:val="006056AD"/>
    <w:rsid w:val="0061463C"/>
    <w:rsid w:val="00622449"/>
    <w:rsid w:val="006265A4"/>
    <w:rsid w:val="006308B9"/>
    <w:rsid w:val="00630D87"/>
    <w:rsid w:val="00634546"/>
    <w:rsid w:val="00635984"/>
    <w:rsid w:val="0064208D"/>
    <w:rsid w:val="00652196"/>
    <w:rsid w:val="006530E2"/>
    <w:rsid w:val="00653CC0"/>
    <w:rsid w:val="00661F19"/>
    <w:rsid w:val="0067188A"/>
    <w:rsid w:val="0067389F"/>
    <w:rsid w:val="00676756"/>
    <w:rsid w:val="00677ECA"/>
    <w:rsid w:val="00690ACA"/>
    <w:rsid w:val="006919ED"/>
    <w:rsid w:val="0069221C"/>
    <w:rsid w:val="00694153"/>
    <w:rsid w:val="006A34BF"/>
    <w:rsid w:val="006A6A46"/>
    <w:rsid w:val="006B4F5F"/>
    <w:rsid w:val="006C089C"/>
    <w:rsid w:val="006C1E67"/>
    <w:rsid w:val="006C436A"/>
    <w:rsid w:val="006C6C68"/>
    <w:rsid w:val="006C7E6E"/>
    <w:rsid w:val="006D0C6D"/>
    <w:rsid w:val="006D371D"/>
    <w:rsid w:val="006D3A5D"/>
    <w:rsid w:val="006D69A7"/>
    <w:rsid w:val="006E01CD"/>
    <w:rsid w:val="006E1A00"/>
    <w:rsid w:val="006E1CF1"/>
    <w:rsid w:val="006F0F2A"/>
    <w:rsid w:val="006F35A3"/>
    <w:rsid w:val="006F546C"/>
    <w:rsid w:val="006F586C"/>
    <w:rsid w:val="006F5E1D"/>
    <w:rsid w:val="006F6563"/>
    <w:rsid w:val="006F7040"/>
    <w:rsid w:val="006F75AD"/>
    <w:rsid w:val="00700ECA"/>
    <w:rsid w:val="00701B91"/>
    <w:rsid w:val="00702DFF"/>
    <w:rsid w:val="0070556C"/>
    <w:rsid w:val="007066F0"/>
    <w:rsid w:val="00717813"/>
    <w:rsid w:val="007259AD"/>
    <w:rsid w:val="00727837"/>
    <w:rsid w:val="00727F12"/>
    <w:rsid w:val="00732497"/>
    <w:rsid w:val="007340EB"/>
    <w:rsid w:val="00743BFF"/>
    <w:rsid w:val="00747FA8"/>
    <w:rsid w:val="00751D49"/>
    <w:rsid w:val="00751EAB"/>
    <w:rsid w:val="00770D70"/>
    <w:rsid w:val="00773685"/>
    <w:rsid w:val="00775929"/>
    <w:rsid w:val="00776154"/>
    <w:rsid w:val="00782176"/>
    <w:rsid w:val="00786589"/>
    <w:rsid w:val="00786BAC"/>
    <w:rsid w:val="007872B8"/>
    <w:rsid w:val="00787E76"/>
    <w:rsid w:val="007927A9"/>
    <w:rsid w:val="00793786"/>
    <w:rsid w:val="007A1B68"/>
    <w:rsid w:val="007A2BA8"/>
    <w:rsid w:val="007A56C4"/>
    <w:rsid w:val="007A6836"/>
    <w:rsid w:val="007A71D6"/>
    <w:rsid w:val="007B13CF"/>
    <w:rsid w:val="007C1890"/>
    <w:rsid w:val="007C66DD"/>
    <w:rsid w:val="007D2837"/>
    <w:rsid w:val="007D295B"/>
    <w:rsid w:val="007E4C82"/>
    <w:rsid w:val="007E78F4"/>
    <w:rsid w:val="007E7A5B"/>
    <w:rsid w:val="007F2BC7"/>
    <w:rsid w:val="008025B1"/>
    <w:rsid w:val="008035BF"/>
    <w:rsid w:val="00804C25"/>
    <w:rsid w:val="00810C83"/>
    <w:rsid w:val="00813AC4"/>
    <w:rsid w:val="00815A40"/>
    <w:rsid w:val="00815AE8"/>
    <w:rsid w:val="00820C6A"/>
    <w:rsid w:val="00821CAA"/>
    <w:rsid w:val="0082545C"/>
    <w:rsid w:val="00830F95"/>
    <w:rsid w:val="00834F2D"/>
    <w:rsid w:val="00835974"/>
    <w:rsid w:val="00842987"/>
    <w:rsid w:val="00843926"/>
    <w:rsid w:val="00843F3B"/>
    <w:rsid w:val="00854B28"/>
    <w:rsid w:val="00854D4F"/>
    <w:rsid w:val="00865298"/>
    <w:rsid w:val="00880505"/>
    <w:rsid w:val="008836C8"/>
    <w:rsid w:val="008927D0"/>
    <w:rsid w:val="008948CC"/>
    <w:rsid w:val="00894E62"/>
    <w:rsid w:val="00896AB3"/>
    <w:rsid w:val="008A2ECA"/>
    <w:rsid w:val="008A5B97"/>
    <w:rsid w:val="008B5B04"/>
    <w:rsid w:val="008B5EEE"/>
    <w:rsid w:val="008B7190"/>
    <w:rsid w:val="008B7CA9"/>
    <w:rsid w:val="008C039D"/>
    <w:rsid w:val="008C07CE"/>
    <w:rsid w:val="008C4243"/>
    <w:rsid w:val="008C42A2"/>
    <w:rsid w:val="008C4CFD"/>
    <w:rsid w:val="008E1439"/>
    <w:rsid w:val="008E51DE"/>
    <w:rsid w:val="008E562C"/>
    <w:rsid w:val="008E6A61"/>
    <w:rsid w:val="008E6D02"/>
    <w:rsid w:val="008E761C"/>
    <w:rsid w:val="008F6626"/>
    <w:rsid w:val="0090291E"/>
    <w:rsid w:val="00906686"/>
    <w:rsid w:val="00916E36"/>
    <w:rsid w:val="00921190"/>
    <w:rsid w:val="0092441C"/>
    <w:rsid w:val="009255D2"/>
    <w:rsid w:val="00926884"/>
    <w:rsid w:val="00927305"/>
    <w:rsid w:val="00933C36"/>
    <w:rsid w:val="0093473B"/>
    <w:rsid w:val="00934BA7"/>
    <w:rsid w:val="009366FE"/>
    <w:rsid w:val="00940146"/>
    <w:rsid w:val="009419BA"/>
    <w:rsid w:val="009533A0"/>
    <w:rsid w:val="009551DB"/>
    <w:rsid w:val="009556F7"/>
    <w:rsid w:val="00960891"/>
    <w:rsid w:val="00964AD6"/>
    <w:rsid w:val="0096654A"/>
    <w:rsid w:val="009700F9"/>
    <w:rsid w:val="0097140D"/>
    <w:rsid w:val="00971EF3"/>
    <w:rsid w:val="00972DD7"/>
    <w:rsid w:val="00973931"/>
    <w:rsid w:val="00983693"/>
    <w:rsid w:val="009852BE"/>
    <w:rsid w:val="00985399"/>
    <w:rsid w:val="0099024B"/>
    <w:rsid w:val="00992967"/>
    <w:rsid w:val="009956E5"/>
    <w:rsid w:val="009A109D"/>
    <w:rsid w:val="009A3334"/>
    <w:rsid w:val="009A3704"/>
    <w:rsid w:val="009A4124"/>
    <w:rsid w:val="009A4C97"/>
    <w:rsid w:val="009B270C"/>
    <w:rsid w:val="009B5EC7"/>
    <w:rsid w:val="009C06CE"/>
    <w:rsid w:val="009C3283"/>
    <w:rsid w:val="009C5F0E"/>
    <w:rsid w:val="009D7B9B"/>
    <w:rsid w:val="009E3168"/>
    <w:rsid w:val="009E382C"/>
    <w:rsid w:val="009E7A44"/>
    <w:rsid w:val="00A03A50"/>
    <w:rsid w:val="00A03E28"/>
    <w:rsid w:val="00A07E39"/>
    <w:rsid w:val="00A24F3D"/>
    <w:rsid w:val="00A25930"/>
    <w:rsid w:val="00A2737A"/>
    <w:rsid w:val="00A33E3D"/>
    <w:rsid w:val="00A4785A"/>
    <w:rsid w:val="00A5300C"/>
    <w:rsid w:val="00A53E33"/>
    <w:rsid w:val="00A5491F"/>
    <w:rsid w:val="00A56B01"/>
    <w:rsid w:val="00A56FCE"/>
    <w:rsid w:val="00A5764E"/>
    <w:rsid w:val="00A63246"/>
    <w:rsid w:val="00A63311"/>
    <w:rsid w:val="00A638D7"/>
    <w:rsid w:val="00A645D7"/>
    <w:rsid w:val="00A66955"/>
    <w:rsid w:val="00A6777B"/>
    <w:rsid w:val="00A70609"/>
    <w:rsid w:val="00A74D74"/>
    <w:rsid w:val="00A75D93"/>
    <w:rsid w:val="00A81F2C"/>
    <w:rsid w:val="00A85784"/>
    <w:rsid w:val="00A93C0B"/>
    <w:rsid w:val="00A96633"/>
    <w:rsid w:val="00AA0A07"/>
    <w:rsid w:val="00AA2B35"/>
    <w:rsid w:val="00AA3F18"/>
    <w:rsid w:val="00AA63F6"/>
    <w:rsid w:val="00AA7E89"/>
    <w:rsid w:val="00AB4DB8"/>
    <w:rsid w:val="00AC021A"/>
    <w:rsid w:val="00AC628A"/>
    <w:rsid w:val="00AC67E2"/>
    <w:rsid w:val="00AD07BB"/>
    <w:rsid w:val="00AD1117"/>
    <w:rsid w:val="00AD152A"/>
    <w:rsid w:val="00AD40C9"/>
    <w:rsid w:val="00AD41CC"/>
    <w:rsid w:val="00AD4580"/>
    <w:rsid w:val="00AF453A"/>
    <w:rsid w:val="00B00616"/>
    <w:rsid w:val="00B0247F"/>
    <w:rsid w:val="00B10481"/>
    <w:rsid w:val="00B10866"/>
    <w:rsid w:val="00B10DF8"/>
    <w:rsid w:val="00B11ABD"/>
    <w:rsid w:val="00B15285"/>
    <w:rsid w:val="00B16997"/>
    <w:rsid w:val="00B169EA"/>
    <w:rsid w:val="00B26EEC"/>
    <w:rsid w:val="00B2729E"/>
    <w:rsid w:val="00B339A2"/>
    <w:rsid w:val="00B35568"/>
    <w:rsid w:val="00B41279"/>
    <w:rsid w:val="00B42BC1"/>
    <w:rsid w:val="00B466AD"/>
    <w:rsid w:val="00B55E43"/>
    <w:rsid w:val="00B56622"/>
    <w:rsid w:val="00B66AD1"/>
    <w:rsid w:val="00B67CAB"/>
    <w:rsid w:val="00B70EC1"/>
    <w:rsid w:val="00B71FA1"/>
    <w:rsid w:val="00B76D56"/>
    <w:rsid w:val="00B83FC8"/>
    <w:rsid w:val="00B84536"/>
    <w:rsid w:val="00B87CC0"/>
    <w:rsid w:val="00B90175"/>
    <w:rsid w:val="00B91470"/>
    <w:rsid w:val="00B93B01"/>
    <w:rsid w:val="00B93D9C"/>
    <w:rsid w:val="00B96041"/>
    <w:rsid w:val="00BA44E4"/>
    <w:rsid w:val="00BB729C"/>
    <w:rsid w:val="00BC2D8C"/>
    <w:rsid w:val="00BC34E9"/>
    <w:rsid w:val="00BC762C"/>
    <w:rsid w:val="00BD674E"/>
    <w:rsid w:val="00BD7987"/>
    <w:rsid w:val="00BE244F"/>
    <w:rsid w:val="00BE6C6B"/>
    <w:rsid w:val="00BF202F"/>
    <w:rsid w:val="00BF4C7E"/>
    <w:rsid w:val="00C0007F"/>
    <w:rsid w:val="00C03EDA"/>
    <w:rsid w:val="00C0792D"/>
    <w:rsid w:val="00C07C35"/>
    <w:rsid w:val="00C10CEE"/>
    <w:rsid w:val="00C12258"/>
    <w:rsid w:val="00C143A1"/>
    <w:rsid w:val="00C14465"/>
    <w:rsid w:val="00C14DE4"/>
    <w:rsid w:val="00C15594"/>
    <w:rsid w:val="00C15FEB"/>
    <w:rsid w:val="00C161F3"/>
    <w:rsid w:val="00C2075C"/>
    <w:rsid w:val="00C22556"/>
    <w:rsid w:val="00C2594E"/>
    <w:rsid w:val="00C25BAB"/>
    <w:rsid w:val="00C25DF1"/>
    <w:rsid w:val="00C26770"/>
    <w:rsid w:val="00C31E84"/>
    <w:rsid w:val="00C359C2"/>
    <w:rsid w:val="00C36DEE"/>
    <w:rsid w:val="00C37BA7"/>
    <w:rsid w:val="00C4031F"/>
    <w:rsid w:val="00C438EC"/>
    <w:rsid w:val="00C46523"/>
    <w:rsid w:val="00C5314D"/>
    <w:rsid w:val="00C54BCA"/>
    <w:rsid w:val="00C55A09"/>
    <w:rsid w:val="00C56832"/>
    <w:rsid w:val="00C65676"/>
    <w:rsid w:val="00C65A81"/>
    <w:rsid w:val="00C6792B"/>
    <w:rsid w:val="00C7059D"/>
    <w:rsid w:val="00C71444"/>
    <w:rsid w:val="00C8022C"/>
    <w:rsid w:val="00C820C8"/>
    <w:rsid w:val="00C879CD"/>
    <w:rsid w:val="00C962F5"/>
    <w:rsid w:val="00C96A9F"/>
    <w:rsid w:val="00CA1921"/>
    <w:rsid w:val="00CA204C"/>
    <w:rsid w:val="00CA209A"/>
    <w:rsid w:val="00CA22F9"/>
    <w:rsid w:val="00CA29B1"/>
    <w:rsid w:val="00CA2A92"/>
    <w:rsid w:val="00CA34D2"/>
    <w:rsid w:val="00CB21AC"/>
    <w:rsid w:val="00CB2755"/>
    <w:rsid w:val="00CB28BF"/>
    <w:rsid w:val="00CB6AAF"/>
    <w:rsid w:val="00CC69F7"/>
    <w:rsid w:val="00CD07B5"/>
    <w:rsid w:val="00CD64EE"/>
    <w:rsid w:val="00CE12B5"/>
    <w:rsid w:val="00CE41EF"/>
    <w:rsid w:val="00CE4C49"/>
    <w:rsid w:val="00CE72D5"/>
    <w:rsid w:val="00CE78C8"/>
    <w:rsid w:val="00CE7ACD"/>
    <w:rsid w:val="00D104DF"/>
    <w:rsid w:val="00D12240"/>
    <w:rsid w:val="00D126A1"/>
    <w:rsid w:val="00D13F05"/>
    <w:rsid w:val="00D16D5D"/>
    <w:rsid w:val="00D25C6D"/>
    <w:rsid w:val="00D326CD"/>
    <w:rsid w:val="00D33EC6"/>
    <w:rsid w:val="00D37E82"/>
    <w:rsid w:val="00D40BC0"/>
    <w:rsid w:val="00D41AAB"/>
    <w:rsid w:val="00D4359B"/>
    <w:rsid w:val="00D44A91"/>
    <w:rsid w:val="00D4735F"/>
    <w:rsid w:val="00D506B1"/>
    <w:rsid w:val="00D50AC7"/>
    <w:rsid w:val="00D51AE4"/>
    <w:rsid w:val="00D53C4A"/>
    <w:rsid w:val="00D56EAD"/>
    <w:rsid w:val="00D572CF"/>
    <w:rsid w:val="00D624BD"/>
    <w:rsid w:val="00D64B91"/>
    <w:rsid w:val="00D65997"/>
    <w:rsid w:val="00D65ABD"/>
    <w:rsid w:val="00D663A4"/>
    <w:rsid w:val="00D7677E"/>
    <w:rsid w:val="00D80560"/>
    <w:rsid w:val="00D82EAD"/>
    <w:rsid w:val="00D8419E"/>
    <w:rsid w:val="00D84755"/>
    <w:rsid w:val="00D9198B"/>
    <w:rsid w:val="00D951DB"/>
    <w:rsid w:val="00DA20A1"/>
    <w:rsid w:val="00DB1A06"/>
    <w:rsid w:val="00DB1B05"/>
    <w:rsid w:val="00DB1DAB"/>
    <w:rsid w:val="00DB5DFF"/>
    <w:rsid w:val="00DB7534"/>
    <w:rsid w:val="00DC734A"/>
    <w:rsid w:val="00DD272A"/>
    <w:rsid w:val="00DD29A8"/>
    <w:rsid w:val="00DD4FA6"/>
    <w:rsid w:val="00DD6F4C"/>
    <w:rsid w:val="00DE5E14"/>
    <w:rsid w:val="00DE5FB2"/>
    <w:rsid w:val="00DF1949"/>
    <w:rsid w:val="00E00273"/>
    <w:rsid w:val="00E0785D"/>
    <w:rsid w:val="00E07E40"/>
    <w:rsid w:val="00E152DC"/>
    <w:rsid w:val="00E2518B"/>
    <w:rsid w:val="00E30A97"/>
    <w:rsid w:val="00E31565"/>
    <w:rsid w:val="00E3455E"/>
    <w:rsid w:val="00E34630"/>
    <w:rsid w:val="00E42295"/>
    <w:rsid w:val="00E42B66"/>
    <w:rsid w:val="00E45055"/>
    <w:rsid w:val="00E475F0"/>
    <w:rsid w:val="00E51FA1"/>
    <w:rsid w:val="00E565EB"/>
    <w:rsid w:val="00E61928"/>
    <w:rsid w:val="00E63600"/>
    <w:rsid w:val="00E63AD7"/>
    <w:rsid w:val="00E7066E"/>
    <w:rsid w:val="00E71733"/>
    <w:rsid w:val="00E73289"/>
    <w:rsid w:val="00E77701"/>
    <w:rsid w:val="00E809DE"/>
    <w:rsid w:val="00E8405C"/>
    <w:rsid w:val="00E87C7E"/>
    <w:rsid w:val="00E87EAC"/>
    <w:rsid w:val="00E935D5"/>
    <w:rsid w:val="00E95764"/>
    <w:rsid w:val="00E9681F"/>
    <w:rsid w:val="00EC2CD3"/>
    <w:rsid w:val="00EC3CE9"/>
    <w:rsid w:val="00ED2FAB"/>
    <w:rsid w:val="00ED61D2"/>
    <w:rsid w:val="00EE0593"/>
    <w:rsid w:val="00EE0AD9"/>
    <w:rsid w:val="00EE1AAD"/>
    <w:rsid w:val="00EE3CE7"/>
    <w:rsid w:val="00EF11A0"/>
    <w:rsid w:val="00EF2B15"/>
    <w:rsid w:val="00EF3B63"/>
    <w:rsid w:val="00F0045C"/>
    <w:rsid w:val="00F1374F"/>
    <w:rsid w:val="00F15DBF"/>
    <w:rsid w:val="00F2191D"/>
    <w:rsid w:val="00F22082"/>
    <w:rsid w:val="00F260CB"/>
    <w:rsid w:val="00F30D45"/>
    <w:rsid w:val="00F312BB"/>
    <w:rsid w:val="00F31369"/>
    <w:rsid w:val="00F32F61"/>
    <w:rsid w:val="00F330E8"/>
    <w:rsid w:val="00F37523"/>
    <w:rsid w:val="00F40557"/>
    <w:rsid w:val="00F45AE3"/>
    <w:rsid w:val="00F476AD"/>
    <w:rsid w:val="00F520EC"/>
    <w:rsid w:val="00F56F7B"/>
    <w:rsid w:val="00F6706F"/>
    <w:rsid w:val="00F67D2C"/>
    <w:rsid w:val="00F76AB7"/>
    <w:rsid w:val="00F77F2A"/>
    <w:rsid w:val="00F93EBE"/>
    <w:rsid w:val="00F969CA"/>
    <w:rsid w:val="00FA5CB8"/>
    <w:rsid w:val="00FD01C6"/>
    <w:rsid w:val="00FD24D9"/>
    <w:rsid w:val="00FD2B06"/>
    <w:rsid w:val="00FD66D2"/>
    <w:rsid w:val="00FE26AE"/>
    <w:rsid w:val="00FE6F4C"/>
    <w:rsid w:val="00FF6527"/>
    <w:rsid w:val="00FF7758"/>
    <w:rsid w:val="016C6125"/>
    <w:rsid w:val="01BA0001"/>
    <w:rsid w:val="020552E0"/>
    <w:rsid w:val="020B73AB"/>
    <w:rsid w:val="026249CF"/>
    <w:rsid w:val="02720F71"/>
    <w:rsid w:val="02925E5A"/>
    <w:rsid w:val="02BD1C10"/>
    <w:rsid w:val="02F940AF"/>
    <w:rsid w:val="032D3CE4"/>
    <w:rsid w:val="03827D7C"/>
    <w:rsid w:val="039F4C08"/>
    <w:rsid w:val="0459446E"/>
    <w:rsid w:val="04612318"/>
    <w:rsid w:val="04715F83"/>
    <w:rsid w:val="04A41AD5"/>
    <w:rsid w:val="04A865DB"/>
    <w:rsid w:val="04C96A38"/>
    <w:rsid w:val="04F456C7"/>
    <w:rsid w:val="05321966"/>
    <w:rsid w:val="054314F4"/>
    <w:rsid w:val="05BE0901"/>
    <w:rsid w:val="063C0E4D"/>
    <w:rsid w:val="065640F8"/>
    <w:rsid w:val="06A65075"/>
    <w:rsid w:val="06C36144"/>
    <w:rsid w:val="06D21D6E"/>
    <w:rsid w:val="0752320D"/>
    <w:rsid w:val="07A77CE4"/>
    <w:rsid w:val="07C75BBB"/>
    <w:rsid w:val="081700AB"/>
    <w:rsid w:val="08761448"/>
    <w:rsid w:val="08BC460C"/>
    <w:rsid w:val="08F9091E"/>
    <w:rsid w:val="093956E3"/>
    <w:rsid w:val="09420CD8"/>
    <w:rsid w:val="094C6417"/>
    <w:rsid w:val="095132D3"/>
    <w:rsid w:val="09623E64"/>
    <w:rsid w:val="09E24C1C"/>
    <w:rsid w:val="0A5478E0"/>
    <w:rsid w:val="0A665650"/>
    <w:rsid w:val="0A775D37"/>
    <w:rsid w:val="0AB61EE7"/>
    <w:rsid w:val="0ADB2808"/>
    <w:rsid w:val="0AEF294D"/>
    <w:rsid w:val="0B2413A6"/>
    <w:rsid w:val="0BA911CA"/>
    <w:rsid w:val="0BBF46A3"/>
    <w:rsid w:val="0BF4595A"/>
    <w:rsid w:val="0BF53F88"/>
    <w:rsid w:val="0D287322"/>
    <w:rsid w:val="0D600055"/>
    <w:rsid w:val="0D741BD2"/>
    <w:rsid w:val="0D991362"/>
    <w:rsid w:val="0DA868BB"/>
    <w:rsid w:val="0DB761E1"/>
    <w:rsid w:val="0E1D3571"/>
    <w:rsid w:val="0E52407A"/>
    <w:rsid w:val="0E9F3E8B"/>
    <w:rsid w:val="0EDC61C3"/>
    <w:rsid w:val="0FCF2CB1"/>
    <w:rsid w:val="103D1B37"/>
    <w:rsid w:val="107E3B91"/>
    <w:rsid w:val="10AA3D82"/>
    <w:rsid w:val="10B55F93"/>
    <w:rsid w:val="10C720F7"/>
    <w:rsid w:val="10DE7F53"/>
    <w:rsid w:val="1101601E"/>
    <w:rsid w:val="111D600D"/>
    <w:rsid w:val="11215FC6"/>
    <w:rsid w:val="11A04280"/>
    <w:rsid w:val="11B13BE8"/>
    <w:rsid w:val="11B2639C"/>
    <w:rsid w:val="12234C56"/>
    <w:rsid w:val="12CE6255"/>
    <w:rsid w:val="12E365E4"/>
    <w:rsid w:val="131F088F"/>
    <w:rsid w:val="13676CE4"/>
    <w:rsid w:val="13775864"/>
    <w:rsid w:val="1384103D"/>
    <w:rsid w:val="139D1CEA"/>
    <w:rsid w:val="144B28FB"/>
    <w:rsid w:val="144F72A4"/>
    <w:rsid w:val="145E1B65"/>
    <w:rsid w:val="147068BD"/>
    <w:rsid w:val="14923DC7"/>
    <w:rsid w:val="14E026A7"/>
    <w:rsid w:val="15D009B0"/>
    <w:rsid w:val="16355049"/>
    <w:rsid w:val="16CC35C2"/>
    <w:rsid w:val="172E5794"/>
    <w:rsid w:val="17A26692"/>
    <w:rsid w:val="17CA4396"/>
    <w:rsid w:val="17EF4B60"/>
    <w:rsid w:val="18053E1C"/>
    <w:rsid w:val="183B084C"/>
    <w:rsid w:val="188344A3"/>
    <w:rsid w:val="18A809D0"/>
    <w:rsid w:val="18C20A4F"/>
    <w:rsid w:val="194B25A8"/>
    <w:rsid w:val="19605EEF"/>
    <w:rsid w:val="19A443E7"/>
    <w:rsid w:val="1A187A7D"/>
    <w:rsid w:val="1A6D09F1"/>
    <w:rsid w:val="1AE656CD"/>
    <w:rsid w:val="1AE9076D"/>
    <w:rsid w:val="1B0B128F"/>
    <w:rsid w:val="1B3625C6"/>
    <w:rsid w:val="1BBD210E"/>
    <w:rsid w:val="1BDA75C2"/>
    <w:rsid w:val="1C24010F"/>
    <w:rsid w:val="1C5051EF"/>
    <w:rsid w:val="1CA33BD2"/>
    <w:rsid w:val="1CCA3FB9"/>
    <w:rsid w:val="1CF5274D"/>
    <w:rsid w:val="1D1111A6"/>
    <w:rsid w:val="1D8329A9"/>
    <w:rsid w:val="1D910E1A"/>
    <w:rsid w:val="1E0168B9"/>
    <w:rsid w:val="1EB16E45"/>
    <w:rsid w:val="1EB364EC"/>
    <w:rsid w:val="1F3650EF"/>
    <w:rsid w:val="1F691BB7"/>
    <w:rsid w:val="1F962AE4"/>
    <w:rsid w:val="1FD15570"/>
    <w:rsid w:val="1FD74307"/>
    <w:rsid w:val="200C4C71"/>
    <w:rsid w:val="20305648"/>
    <w:rsid w:val="20552FF7"/>
    <w:rsid w:val="20553885"/>
    <w:rsid w:val="20931EC6"/>
    <w:rsid w:val="20CC6428"/>
    <w:rsid w:val="20D276F6"/>
    <w:rsid w:val="21826E34"/>
    <w:rsid w:val="21AC08D1"/>
    <w:rsid w:val="21C902A3"/>
    <w:rsid w:val="22630E86"/>
    <w:rsid w:val="22A44944"/>
    <w:rsid w:val="22E34F30"/>
    <w:rsid w:val="23BA452E"/>
    <w:rsid w:val="23D96CBC"/>
    <w:rsid w:val="249D2418"/>
    <w:rsid w:val="24B12DB2"/>
    <w:rsid w:val="252E775E"/>
    <w:rsid w:val="254F475B"/>
    <w:rsid w:val="25A45BC8"/>
    <w:rsid w:val="261777F2"/>
    <w:rsid w:val="26363FCE"/>
    <w:rsid w:val="26735AE5"/>
    <w:rsid w:val="26E6593F"/>
    <w:rsid w:val="27226722"/>
    <w:rsid w:val="275363C1"/>
    <w:rsid w:val="27875912"/>
    <w:rsid w:val="27A76780"/>
    <w:rsid w:val="27E30804"/>
    <w:rsid w:val="280F614F"/>
    <w:rsid w:val="285F6C64"/>
    <w:rsid w:val="289868D0"/>
    <w:rsid w:val="28C407F8"/>
    <w:rsid w:val="293A0881"/>
    <w:rsid w:val="299B23D8"/>
    <w:rsid w:val="29AF4FAC"/>
    <w:rsid w:val="29B12BE1"/>
    <w:rsid w:val="29DA34BA"/>
    <w:rsid w:val="29E366E1"/>
    <w:rsid w:val="2A212A02"/>
    <w:rsid w:val="2A5F6336"/>
    <w:rsid w:val="2ABE5762"/>
    <w:rsid w:val="2B2E67EF"/>
    <w:rsid w:val="2BD11E1E"/>
    <w:rsid w:val="2D045022"/>
    <w:rsid w:val="2DBA386E"/>
    <w:rsid w:val="2DC1458F"/>
    <w:rsid w:val="2E267DC1"/>
    <w:rsid w:val="2E724E09"/>
    <w:rsid w:val="2ED75741"/>
    <w:rsid w:val="2EF204A2"/>
    <w:rsid w:val="2EF568FF"/>
    <w:rsid w:val="2F353A48"/>
    <w:rsid w:val="2FD67572"/>
    <w:rsid w:val="2FDF5D9D"/>
    <w:rsid w:val="2FF53A2F"/>
    <w:rsid w:val="301462B0"/>
    <w:rsid w:val="302100FE"/>
    <w:rsid w:val="306B6C90"/>
    <w:rsid w:val="30A91E8B"/>
    <w:rsid w:val="312B720E"/>
    <w:rsid w:val="317B62AF"/>
    <w:rsid w:val="321447EB"/>
    <w:rsid w:val="32270671"/>
    <w:rsid w:val="328E3AB2"/>
    <w:rsid w:val="32D730BF"/>
    <w:rsid w:val="33D259F7"/>
    <w:rsid w:val="33D9113E"/>
    <w:rsid w:val="33E02EB2"/>
    <w:rsid w:val="33E10960"/>
    <w:rsid w:val="33EB3A4B"/>
    <w:rsid w:val="33F90A8C"/>
    <w:rsid w:val="3441469E"/>
    <w:rsid w:val="34471325"/>
    <w:rsid w:val="347B6569"/>
    <w:rsid w:val="34AA2E24"/>
    <w:rsid w:val="34EB6062"/>
    <w:rsid w:val="350C24BC"/>
    <w:rsid w:val="35404A3F"/>
    <w:rsid w:val="359431AD"/>
    <w:rsid w:val="35E405E5"/>
    <w:rsid w:val="35F80920"/>
    <w:rsid w:val="361A1DD1"/>
    <w:rsid w:val="361E4425"/>
    <w:rsid w:val="3639376E"/>
    <w:rsid w:val="36892653"/>
    <w:rsid w:val="37027615"/>
    <w:rsid w:val="377E734C"/>
    <w:rsid w:val="37A72BA7"/>
    <w:rsid w:val="37C77B93"/>
    <w:rsid w:val="37CF19CB"/>
    <w:rsid w:val="37DC616E"/>
    <w:rsid w:val="385E0FFE"/>
    <w:rsid w:val="38896857"/>
    <w:rsid w:val="39332150"/>
    <w:rsid w:val="393C4394"/>
    <w:rsid w:val="39890ABD"/>
    <w:rsid w:val="39A059FA"/>
    <w:rsid w:val="39F11D82"/>
    <w:rsid w:val="3A0815B3"/>
    <w:rsid w:val="3A0D1A61"/>
    <w:rsid w:val="3A1E6DE3"/>
    <w:rsid w:val="3A205368"/>
    <w:rsid w:val="3AB95996"/>
    <w:rsid w:val="3B1277B8"/>
    <w:rsid w:val="3B6E4A73"/>
    <w:rsid w:val="3B842B85"/>
    <w:rsid w:val="3B911D8E"/>
    <w:rsid w:val="3BC4770B"/>
    <w:rsid w:val="3BDC3AE5"/>
    <w:rsid w:val="3C303C4D"/>
    <w:rsid w:val="3C736C63"/>
    <w:rsid w:val="3D212C95"/>
    <w:rsid w:val="3D2B00A5"/>
    <w:rsid w:val="3DF23008"/>
    <w:rsid w:val="3E424040"/>
    <w:rsid w:val="3E5E5D37"/>
    <w:rsid w:val="3E635D2C"/>
    <w:rsid w:val="3EC65EAD"/>
    <w:rsid w:val="3EE37F19"/>
    <w:rsid w:val="3F324FC4"/>
    <w:rsid w:val="40DF719F"/>
    <w:rsid w:val="41497955"/>
    <w:rsid w:val="415229A7"/>
    <w:rsid w:val="415552F3"/>
    <w:rsid w:val="41881F2B"/>
    <w:rsid w:val="41BC56BB"/>
    <w:rsid w:val="41C35427"/>
    <w:rsid w:val="41FA2237"/>
    <w:rsid w:val="423F7ADA"/>
    <w:rsid w:val="42426358"/>
    <w:rsid w:val="424A33FD"/>
    <w:rsid w:val="428A5DDC"/>
    <w:rsid w:val="429B55CE"/>
    <w:rsid w:val="43263EE8"/>
    <w:rsid w:val="432A16C7"/>
    <w:rsid w:val="4381086E"/>
    <w:rsid w:val="43BF442B"/>
    <w:rsid w:val="43DD77F9"/>
    <w:rsid w:val="445534D1"/>
    <w:rsid w:val="4478445C"/>
    <w:rsid w:val="44790956"/>
    <w:rsid w:val="44855BF6"/>
    <w:rsid w:val="44953AB2"/>
    <w:rsid w:val="459859E2"/>
    <w:rsid w:val="462310AE"/>
    <w:rsid w:val="4624666E"/>
    <w:rsid w:val="46A129F1"/>
    <w:rsid w:val="4721478C"/>
    <w:rsid w:val="47427748"/>
    <w:rsid w:val="47883EFE"/>
    <w:rsid w:val="47C70E4A"/>
    <w:rsid w:val="48436898"/>
    <w:rsid w:val="48F17A33"/>
    <w:rsid w:val="492E44E2"/>
    <w:rsid w:val="4941757B"/>
    <w:rsid w:val="49B42502"/>
    <w:rsid w:val="49F86960"/>
    <w:rsid w:val="49F93093"/>
    <w:rsid w:val="4A077082"/>
    <w:rsid w:val="4A49502E"/>
    <w:rsid w:val="4A731DA9"/>
    <w:rsid w:val="4AA00E84"/>
    <w:rsid w:val="4AA04930"/>
    <w:rsid w:val="4B250FC9"/>
    <w:rsid w:val="4B9F048A"/>
    <w:rsid w:val="4BA82536"/>
    <w:rsid w:val="4BE952BB"/>
    <w:rsid w:val="4C1F2327"/>
    <w:rsid w:val="4C4C4D10"/>
    <w:rsid w:val="4C653F05"/>
    <w:rsid w:val="4CBA005E"/>
    <w:rsid w:val="4CBB4628"/>
    <w:rsid w:val="4CFC7A28"/>
    <w:rsid w:val="4D5A4065"/>
    <w:rsid w:val="4D61774A"/>
    <w:rsid w:val="4D8F4358"/>
    <w:rsid w:val="4E1C0FEB"/>
    <w:rsid w:val="4E252F81"/>
    <w:rsid w:val="4E4C09EA"/>
    <w:rsid w:val="4E706B01"/>
    <w:rsid w:val="4E7400ED"/>
    <w:rsid w:val="4E8B20EC"/>
    <w:rsid w:val="4E947115"/>
    <w:rsid w:val="4ED23935"/>
    <w:rsid w:val="4EE05E59"/>
    <w:rsid w:val="4F701D9A"/>
    <w:rsid w:val="50705682"/>
    <w:rsid w:val="50AA6A78"/>
    <w:rsid w:val="50DC3F1E"/>
    <w:rsid w:val="50DC7C98"/>
    <w:rsid w:val="50E00D43"/>
    <w:rsid w:val="51184653"/>
    <w:rsid w:val="511F1193"/>
    <w:rsid w:val="51275CDB"/>
    <w:rsid w:val="520E3136"/>
    <w:rsid w:val="52744F73"/>
    <w:rsid w:val="52AF4A03"/>
    <w:rsid w:val="52C14D50"/>
    <w:rsid w:val="52E7235F"/>
    <w:rsid w:val="52E902FC"/>
    <w:rsid w:val="533408CB"/>
    <w:rsid w:val="53354911"/>
    <w:rsid w:val="534A272E"/>
    <w:rsid w:val="536D1507"/>
    <w:rsid w:val="536D6EF8"/>
    <w:rsid w:val="53823E75"/>
    <w:rsid w:val="53D0185A"/>
    <w:rsid w:val="53F014BB"/>
    <w:rsid w:val="54877B10"/>
    <w:rsid w:val="54A85E69"/>
    <w:rsid w:val="54AF5DB4"/>
    <w:rsid w:val="54B724BD"/>
    <w:rsid w:val="55286DA8"/>
    <w:rsid w:val="553774A9"/>
    <w:rsid w:val="55826B2F"/>
    <w:rsid w:val="55B66E6B"/>
    <w:rsid w:val="560D627B"/>
    <w:rsid w:val="564D6751"/>
    <w:rsid w:val="571F3106"/>
    <w:rsid w:val="578E5CA9"/>
    <w:rsid w:val="57A0500A"/>
    <w:rsid w:val="57CD4D19"/>
    <w:rsid w:val="57D4392E"/>
    <w:rsid w:val="58FD181A"/>
    <w:rsid w:val="5A080F7D"/>
    <w:rsid w:val="5A4A6F83"/>
    <w:rsid w:val="5A71272E"/>
    <w:rsid w:val="5A9D37E8"/>
    <w:rsid w:val="5AB11F9A"/>
    <w:rsid w:val="5AE37D8E"/>
    <w:rsid w:val="5AF34CC3"/>
    <w:rsid w:val="5AFC166E"/>
    <w:rsid w:val="5B1F540A"/>
    <w:rsid w:val="5B51699F"/>
    <w:rsid w:val="5B6676A9"/>
    <w:rsid w:val="5B792859"/>
    <w:rsid w:val="5BE000D0"/>
    <w:rsid w:val="5C2C41D6"/>
    <w:rsid w:val="5C341658"/>
    <w:rsid w:val="5CB73340"/>
    <w:rsid w:val="5CBF51F8"/>
    <w:rsid w:val="5D15345C"/>
    <w:rsid w:val="5D474247"/>
    <w:rsid w:val="5DB06842"/>
    <w:rsid w:val="5DC06329"/>
    <w:rsid w:val="5E061068"/>
    <w:rsid w:val="5E50770E"/>
    <w:rsid w:val="5E674EB9"/>
    <w:rsid w:val="5E7A221E"/>
    <w:rsid w:val="5E7C2712"/>
    <w:rsid w:val="5EEC6A4A"/>
    <w:rsid w:val="5F5B03EC"/>
    <w:rsid w:val="5FD77579"/>
    <w:rsid w:val="608470F5"/>
    <w:rsid w:val="60DD3D8C"/>
    <w:rsid w:val="61207299"/>
    <w:rsid w:val="612A0AAB"/>
    <w:rsid w:val="61916083"/>
    <w:rsid w:val="61A14ADA"/>
    <w:rsid w:val="61BD215B"/>
    <w:rsid w:val="61E569C5"/>
    <w:rsid w:val="61EB5B4D"/>
    <w:rsid w:val="623F08CC"/>
    <w:rsid w:val="62420ECF"/>
    <w:rsid w:val="62681AB9"/>
    <w:rsid w:val="628B034A"/>
    <w:rsid w:val="62BB401E"/>
    <w:rsid w:val="62EF3223"/>
    <w:rsid w:val="63087FDD"/>
    <w:rsid w:val="6362496D"/>
    <w:rsid w:val="637A08F5"/>
    <w:rsid w:val="637E1013"/>
    <w:rsid w:val="63BD3A3E"/>
    <w:rsid w:val="63DF30CE"/>
    <w:rsid w:val="64142ABC"/>
    <w:rsid w:val="642D35A7"/>
    <w:rsid w:val="648A4D2B"/>
    <w:rsid w:val="64F9597A"/>
    <w:rsid w:val="65111793"/>
    <w:rsid w:val="65625C27"/>
    <w:rsid w:val="65C347FA"/>
    <w:rsid w:val="66DC2579"/>
    <w:rsid w:val="670D5CA4"/>
    <w:rsid w:val="676661A9"/>
    <w:rsid w:val="67672B36"/>
    <w:rsid w:val="677A69C7"/>
    <w:rsid w:val="677C1475"/>
    <w:rsid w:val="678A4A58"/>
    <w:rsid w:val="67AF61B3"/>
    <w:rsid w:val="67DA2816"/>
    <w:rsid w:val="67DB66FF"/>
    <w:rsid w:val="67DC3C4C"/>
    <w:rsid w:val="67E94798"/>
    <w:rsid w:val="68217770"/>
    <w:rsid w:val="6871566C"/>
    <w:rsid w:val="68DB73F1"/>
    <w:rsid w:val="69380D75"/>
    <w:rsid w:val="6957016D"/>
    <w:rsid w:val="697F45A0"/>
    <w:rsid w:val="69956983"/>
    <w:rsid w:val="6A4945F5"/>
    <w:rsid w:val="6AED3085"/>
    <w:rsid w:val="6B183AA7"/>
    <w:rsid w:val="6B1E6842"/>
    <w:rsid w:val="6B435B6A"/>
    <w:rsid w:val="6BD71883"/>
    <w:rsid w:val="6BE249A0"/>
    <w:rsid w:val="6BF14E11"/>
    <w:rsid w:val="6C7B127D"/>
    <w:rsid w:val="6C9C0D39"/>
    <w:rsid w:val="6CA624E9"/>
    <w:rsid w:val="6CA90CC9"/>
    <w:rsid w:val="6CAE7336"/>
    <w:rsid w:val="6CE838A3"/>
    <w:rsid w:val="6D646551"/>
    <w:rsid w:val="6D7E66A8"/>
    <w:rsid w:val="6D8B1F45"/>
    <w:rsid w:val="6E05294D"/>
    <w:rsid w:val="6E8E1BAF"/>
    <w:rsid w:val="6EB45014"/>
    <w:rsid w:val="6EC33446"/>
    <w:rsid w:val="6F3C66C6"/>
    <w:rsid w:val="70446FA0"/>
    <w:rsid w:val="7114701C"/>
    <w:rsid w:val="71267768"/>
    <w:rsid w:val="713F6F6A"/>
    <w:rsid w:val="71D84618"/>
    <w:rsid w:val="72780E63"/>
    <w:rsid w:val="73233968"/>
    <w:rsid w:val="732411F1"/>
    <w:rsid w:val="73911FE3"/>
    <w:rsid w:val="73E60171"/>
    <w:rsid w:val="73E77298"/>
    <w:rsid w:val="73F7083F"/>
    <w:rsid w:val="742664D2"/>
    <w:rsid w:val="747A256D"/>
    <w:rsid w:val="7495162E"/>
    <w:rsid w:val="74EB2061"/>
    <w:rsid w:val="75254AA6"/>
    <w:rsid w:val="757B4FC9"/>
    <w:rsid w:val="75A2425E"/>
    <w:rsid w:val="75FE162C"/>
    <w:rsid w:val="75FE43F1"/>
    <w:rsid w:val="76D52B2D"/>
    <w:rsid w:val="76DA0EFE"/>
    <w:rsid w:val="77441644"/>
    <w:rsid w:val="779D1383"/>
    <w:rsid w:val="784271F2"/>
    <w:rsid w:val="78682A1C"/>
    <w:rsid w:val="788F4E2B"/>
    <w:rsid w:val="793848D1"/>
    <w:rsid w:val="793C101C"/>
    <w:rsid w:val="793F1DB4"/>
    <w:rsid w:val="794101CD"/>
    <w:rsid w:val="798B289C"/>
    <w:rsid w:val="7A2A3B62"/>
    <w:rsid w:val="7A79133C"/>
    <w:rsid w:val="7AA200F9"/>
    <w:rsid w:val="7B5B72A9"/>
    <w:rsid w:val="7B881425"/>
    <w:rsid w:val="7BBD3683"/>
    <w:rsid w:val="7BC7534B"/>
    <w:rsid w:val="7BC9556A"/>
    <w:rsid w:val="7C387FA9"/>
    <w:rsid w:val="7C5B2D07"/>
    <w:rsid w:val="7C7131CA"/>
    <w:rsid w:val="7DBD5095"/>
    <w:rsid w:val="7E4473BE"/>
    <w:rsid w:val="7EB02F77"/>
    <w:rsid w:val="7EC655E8"/>
    <w:rsid w:val="7F20775B"/>
    <w:rsid w:val="7F5E6BDA"/>
    <w:rsid w:val="7F882E78"/>
    <w:rsid w:val="7F937F47"/>
    <w:rsid w:val="7F975F68"/>
    <w:rsid w:val="7FA91635"/>
    <w:rsid w:val="7FC9100E"/>
    <w:rsid w:val="7FD76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8"/>
    <w:qFormat/>
    <w:uiPriority w:val="0"/>
    <w:pPr>
      <w:keepNext/>
      <w:keepLines/>
      <w:tabs>
        <w:tab w:val="left" w:pos="1380"/>
      </w:tabs>
      <w:suppressAutoHyphens/>
      <w:spacing w:before="260" w:after="260" w:line="413" w:lineRule="auto"/>
      <w:ind w:left="1380" w:hanging="420"/>
      <w:jc w:val="left"/>
      <w:textAlignment w:val="baseline"/>
      <w:outlineLvl w:val="1"/>
    </w:pPr>
    <w:rPr>
      <w:rFonts w:ascii="Arial" w:hAnsi="Arial" w:eastAsia="黑体"/>
      <w:b/>
      <w:bCs/>
      <w:w w:val="80"/>
      <w:kern w:val="1"/>
      <w:sz w:val="32"/>
      <w:szCs w:val="32"/>
    </w:rPr>
  </w:style>
  <w:style w:type="paragraph" w:styleId="4">
    <w:name w:val="heading 3"/>
    <w:basedOn w:val="1"/>
    <w:next w:val="1"/>
    <w:qFormat/>
    <w:uiPriority w:val="0"/>
    <w:pPr>
      <w:keepNext/>
      <w:keepLines/>
      <w:tabs>
        <w:tab w:val="left" w:pos="1800"/>
      </w:tabs>
      <w:suppressAutoHyphens/>
      <w:spacing w:before="260" w:after="260" w:line="413" w:lineRule="auto"/>
      <w:ind w:left="1800" w:hanging="420"/>
      <w:jc w:val="left"/>
      <w:textAlignment w:val="baseline"/>
      <w:outlineLvl w:val="2"/>
    </w:pPr>
    <w:rPr>
      <w:rFonts w:cs="Tahoma"/>
      <w:b/>
      <w:bCs/>
      <w:w w:val="80"/>
      <w:kern w:val="1"/>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7">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8">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9">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0">
    <w:name w:val="toc 7"/>
    <w:basedOn w:val="1"/>
    <w:next w:val="1"/>
    <w:qFormat/>
    <w:uiPriority w:val="0"/>
    <w:pPr>
      <w:ind w:left="2520" w:leftChars="1200"/>
    </w:pPr>
  </w:style>
  <w:style w:type="paragraph" w:styleId="11">
    <w:name w:val="annotation text"/>
    <w:basedOn w:val="1"/>
    <w:link w:val="43"/>
    <w:qFormat/>
    <w:uiPriority w:val="0"/>
    <w:pPr>
      <w:jc w:val="left"/>
    </w:pPr>
  </w:style>
  <w:style w:type="paragraph" w:styleId="12">
    <w:name w:val="Body Text Indent"/>
    <w:basedOn w:val="1"/>
    <w:qFormat/>
    <w:uiPriority w:val="0"/>
    <w:pPr>
      <w:ind w:firstLine="480"/>
    </w:pPr>
    <w:rPr>
      <w:rFonts w:ascii="宋体" w:hAnsi="宋体"/>
      <w:sz w:val="30"/>
    </w:rPr>
  </w:style>
  <w:style w:type="paragraph" w:styleId="13">
    <w:name w:val="toc 5"/>
    <w:basedOn w:val="1"/>
    <w:next w:val="1"/>
    <w:qFormat/>
    <w:uiPriority w:val="0"/>
    <w:pPr>
      <w:ind w:left="1680" w:leftChars="800"/>
    </w:pPr>
  </w:style>
  <w:style w:type="paragraph" w:styleId="14">
    <w:name w:val="toc 3"/>
    <w:basedOn w:val="1"/>
    <w:next w:val="1"/>
    <w:qFormat/>
    <w:uiPriority w:val="0"/>
    <w:pPr>
      <w:ind w:left="840" w:leftChars="400"/>
    </w:pPr>
  </w:style>
  <w:style w:type="paragraph" w:styleId="15">
    <w:name w:val="Plain Text"/>
    <w:basedOn w:val="1"/>
    <w:qFormat/>
    <w:uiPriority w:val="0"/>
    <w:rPr>
      <w:rFonts w:ascii="宋体" w:hAnsi="Courier New"/>
      <w:szCs w:val="20"/>
    </w:rPr>
  </w:style>
  <w:style w:type="paragraph" w:styleId="16">
    <w:name w:val="toc 8"/>
    <w:basedOn w:val="1"/>
    <w:next w:val="1"/>
    <w:qFormat/>
    <w:uiPriority w:val="0"/>
    <w:pPr>
      <w:ind w:left="2940" w:leftChars="1400"/>
    </w:pPr>
  </w:style>
  <w:style w:type="paragraph" w:styleId="17">
    <w:name w:val="Date"/>
    <w:basedOn w:val="1"/>
    <w:next w:val="1"/>
    <w:qFormat/>
    <w:uiPriority w:val="0"/>
    <w:pPr>
      <w:ind w:left="100" w:leftChars="2500"/>
    </w:pPr>
    <w:rPr>
      <w:rFonts w:ascii="楷体_GB2312"/>
      <w:sz w:val="36"/>
    </w:rPr>
  </w:style>
  <w:style w:type="paragraph" w:styleId="18">
    <w:name w:val="Body Text Indent 2"/>
    <w:basedOn w:val="1"/>
    <w:qFormat/>
    <w:uiPriority w:val="0"/>
    <w:pPr>
      <w:spacing w:line="400" w:lineRule="exact"/>
      <w:ind w:firstLine="840" w:firstLineChars="400"/>
    </w:pPr>
    <w:rPr>
      <w:rFonts w:ascii="宋体" w:hAnsi="宋体"/>
    </w:rPr>
  </w:style>
  <w:style w:type="paragraph" w:styleId="19">
    <w:name w:val="Balloon Text"/>
    <w:basedOn w:val="1"/>
    <w:qFormat/>
    <w:uiPriority w:val="0"/>
    <w:rPr>
      <w:sz w:val="18"/>
      <w:szCs w:val="18"/>
    </w:rPr>
  </w:style>
  <w:style w:type="paragraph" w:styleId="20">
    <w:name w:val="footer"/>
    <w:basedOn w:val="1"/>
    <w:link w:val="46"/>
    <w:qFormat/>
    <w:uiPriority w:val="99"/>
    <w:pPr>
      <w:tabs>
        <w:tab w:val="center" w:pos="4153"/>
        <w:tab w:val="right" w:pos="8306"/>
      </w:tabs>
      <w:snapToGrid w:val="0"/>
      <w:jc w:val="left"/>
    </w:pPr>
    <w:rPr>
      <w:sz w:val="18"/>
      <w:szCs w:val="18"/>
    </w:rPr>
  </w:style>
  <w:style w:type="paragraph" w:styleId="21">
    <w:name w:val="header"/>
    <w:basedOn w:val="1"/>
    <w:link w:val="42"/>
    <w:qFormat/>
    <w:uiPriority w:val="0"/>
    <w:pPr>
      <w:pBdr>
        <w:bottom w:val="single" w:color="auto" w:sz="6" w:space="1"/>
      </w:pBdr>
      <w:tabs>
        <w:tab w:val="center" w:pos="4153"/>
        <w:tab w:val="right" w:pos="8306"/>
      </w:tabs>
      <w:snapToGrid w:val="0"/>
      <w:jc w:val="center"/>
    </w:pPr>
    <w:rPr>
      <w:rFonts w:eastAsia="楷体_GB2312"/>
      <w:sz w:val="18"/>
      <w:szCs w:val="20"/>
    </w:rPr>
  </w:style>
  <w:style w:type="paragraph" w:styleId="22">
    <w:name w:val="toc 1"/>
    <w:basedOn w:val="2"/>
    <w:next w:val="1"/>
    <w:qFormat/>
    <w:uiPriority w:val="0"/>
    <w:pPr>
      <w:spacing w:before="0" w:after="0" w:line="240" w:lineRule="auto"/>
    </w:pPr>
    <w:rPr>
      <w:sz w:val="24"/>
    </w:rPr>
  </w:style>
  <w:style w:type="paragraph" w:styleId="23">
    <w:name w:val="toc 4"/>
    <w:basedOn w:val="1"/>
    <w:next w:val="1"/>
    <w:qFormat/>
    <w:uiPriority w:val="0"/>
    <w:pPr>
      <w:ind w:left="1260" w:leftChars="600"/>
    </w:pPr>
  </w:style>
  <w:style w:type="paragraph" w:styleId="24">
    <w:name w:val="footnote text"/>
    <w:basedOn w:val="1"/>
    <w:qFormat/>
    <w:uiPriority w:val="0"/>
    <w:pPr>
      <w:snapToGrid w:val="0"/>
      <w:jc w:val="left"/>
    </w:pPr>
    <w:rPr>
      <w:sz w:val="18"/>
      <w:szCs w:val="18"/>
    </w:rPr>
  </w:style>
  <w:style w:type="paragraph" w:styleId="25">
    <w:name w:val="toc 6"/>
    <w:basedOn w:val="1"/>
    <w:next w:val="1"/>
    <w:qFormat/>
    <w:uiPriority w:val="0"/>
    <w:pPr>
      <w:ind w:left="2100" w:leftChars="1000"/>
    </w:pPr>
  </w:style>
  <w:style w:type="paragraph" w:styleId="26">
    <w:name w:val="Body Text Indent 3"/>
    <w:basedOn w:val="1"/>
    <w:qFormat/>
    <w:uiPriority w:val="0"/>
    <w:pPr>
      <w:spacing w:line="400" w:lineRule="exact"/>
      <w:ind w:left="2" w:leftChars="1"/>
    </w:pPr>
    <w:rPr>
      <w:rFonts w:ascii="宋体" w:hAnsi="宋体"/>
      <w:szCs w:val="20"/>
    </w:r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style>
  <w:style w:type="paragraph" w:styleId="29">
    <w:name w:val="Body Text 2"/>
    <w:basedOn w:val="1"/>
    <w:qFormat/>
    <w:uiPriority w:val="0"/>
    <w:rPr>
      <w:rFonts w:ascii="宋体" w:hAnsi="宋体"/>
      <w:sz w:val="30"/>
      <w:szCs w:val="20"/>
    </w:rPr>
  </w:style>
  <w:style w:type="paragraph" w:styleId="30">
    <w:name w:val="Normal (Web)"/>
    <w:basedOn w:val="1"/>
    <w:qFormat/>
    <w:uiPriority w:val="0"/>
    <w:pPr>
      <w:widowControl/>
      <w:spacing w:before="100" w:beforeAutospacing="1" w:after="100" w:afterAutospacing="1"/>
      <w:jc w:val="left"/>
    </w:pPr>
    <w:rPr>
      <w:kern w:val="0"/>
      <w:sz w:val="24"/>
    </w:rPr>
  </w:style>
  <w:style w:type="paragraph" w:styleId="31">
    <w:name w:val="Title"/>
    <w:basedOn w:val="1"/>
    <w:qFormat/>
    <w:uiPriority w:val="0"/>
    <w:pPr>
      <w:spacing w:before="240" w:after="60"/>
      <w:jc w:val="center"/>
      <w:outlineLvl w:val="0"/>
    </w:pPr>
    <w:rPr>
      <w:rFonts w:ascii="Arial" w:hAnsi="Arial" w:eastAsia="隶书" w:cs="Arial"/>
      <w:b/>
      <w:bCs/>
      <w:sz w:val="32"/>
      <w:szCs w:val="32"/>
    </w:rPr>
  </w:style>
  <w:style w:type="paragraph" w:styleId="32">
    <w:name w:val="annotation subject"/>
    <w:basedOn w:val="11"/>
    <w:next w:val="11"/>
    <w:qFormat/>
    <w:uiPriority w:val="0"/>
    <w:rPr>
      <w:b/>
      <w:bCs/>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676E74"/>
      <w:u w:val="none"/>
    </w:rPr>
  </w:style>
  <w:style w:type="character" w:styleId="39">
    <w:name w:val="Hyperlink"/>
    <w:qFormat/>
    <w:uiPriority w:val="0"/>
    <w:rPr>
      <w:color w:val="676E74"/>
      <w:u w:val="none"/>
    </w:rPr>
  </w:style>
  <w:style w:type="character" w:styleId="40">
    <w:name w:val="annotation reference"/>
    <w:qFormat/>
    <w:uiPriority w:val="0"/>
    <w:rPr>
      <w:sz w:val="21"/>
      <w:szCs w:val="21"/>
    </w:rPr>
  </w:style>
  <w:style w:type="character" w:styleId="41">
    <w:name w:val="footnote reference"/>
    <w:qFormat/>
    <w:uiPriority w:val="0"/>
    <w:rPr>
      <w:vertAlign w:val="superscript"/>
    </w:rPr>
  </w:style>
  <w:style w:type="character" w:customStyle="1" w:styleId="42">
    <w:name w:val="页眉 Char"/>
    <w:link w:val="21"/>
    <w:qFormat/>
    <w:uiPriority w:val="0"/>
    <w:rPr>
      <w:rFonts w:eastAsia="楷体_GB2312"/>
      <w:kern w:val="2"/>
      <w:sz w:val="18"/>
      <w:lang w:val="en-US" w:eastAsia="zh-CN" w:bidi="ar-SA"/>
    </w:rPr>
  </w:style>
  <w:style w:type="character" w:customStyle="1" w:styleId="43">
    <w:name w:val="批注文字 Char"/>
    <w:link w:val="11"/>
    <w:qFormat/>
    <w:uiPriority w:val="0"/>
    <w:rPr>
      <w:rFonts w:eastAsia="宋体"/>
      <w:kern w:val="2"/>
      <w:sz w:val="21"/>
      <w:szCs w:val="24"/>
      <w:lang w:val="en-US" w:eastAsia="zh-CN" w:bidi="ar-SA"/>
    </w:rPr>
  </w:style>
  <w:style w:type="character" w:customStyle="1" w:styleId="44">
    <w:name w:val="标题 1 Char"/>
    <w:link w:val="2"/>
    <w:qFormat/>
    <w:uiPriority w:val="0"/>
    <w:rPr>
      <w:b/>
      <w:bCs/>
      <w:kern w:val="44"/>
      <w:sz w:val="44"/>
      <w:szCs w:val="44"/>
    </w:rPr>
  </w:style>
  <w:style w:type="character" w:customStyle="1" w:styleId="45">
    <w:name w:val="down1"/>
    <w:qFormat/>
    <w:uiPriority w:val="0"/>
    <w:rPr>
      <w:b/>
      <w:color w:val="E26306"/>
      <w:u w:val="none"/>
    </w:rPr>
  </w:style>
  <w:style w:type="character" w:customStyle="1" w:styleId="46">
    <w:name w:val="页脚 Char"/>
    <w:link w:val="20"/>
    <w:qFormat/>
    <w:uiPriority w:val="99"/>
    <w:rPr>
      <w:kern w:val="2"/>
      <w:sz w:val="18"/>
      <w:szCs w:val="18"/>
    </w:rPr>
  </w:style>
  <w:style w:type="character" w:customStyle="1" w:styleId="47">
    <w:name w:val="down"/>
    <w:basedOn w:val="35"/>
    <w:qFormat/>
    <w:uiPriority w:val="0"/>
  </w:style>
  <w:style w:type="character" w:customStyle="1" w:styleId="48">
    <w:name w:val="标题 2 Char"/>
    <w:link w:val="3"/>
    <w:qFormat/>
    <w:uiPriority w:val="0"/>
    <w:rPr>
      <w:rFonts w:ascii="Arial" w:hAnsi="Arial" w:eastAsia="黑体" w:cs="Tahoma"/>
      <w:b/>
      <w:bCs/>
      <w:w w:val="80"/>
      <w:kern w:val="1"/>
      <w:sz w:val="32"/>
      <w:szCs w:val="32"/>
    </w:rPr>
  </w:style>
  <w:style w:type="character" w:customStyle="1" w:styleId="49">
    <w:name w:val="down01"/>
    <w:qFormat/>
    <w:uiPriority w:val="0"/>
    <w:rPr>
      <w:b/>
      <w:color w:val="FFFFFF"/>
    </w:rPr>
  </w:style>
  <w:style w:type="character" w:customStyle="1" w:styleId="50">
    <w:name w:val="down0"/>
    <w:basedOn w:val="35"/>
    <w:qFormat/>
    <w:uiPriority w:val="0"/>
  </w:style>
  <w:style w:type="paragraph" w:customStyle="1" w:styleId="51">
    <w:name w:val="列出段落1"/>
    <w:basedOn w:val="1"/>
    <w:qFormat/>
    <w:uiPriority w:val="99"/>
    <w:pPr>
      <w:ind w:firstLine="420" w:firstLineChars="200"/>
    </w:pPr>
    <w:rPr>
      <w:szCs w:val="22"/>
    </w:rPr>
  </w:style>
  <w:style w:type="paragraph" w:customStyle="1" w:styleId="52">
    <w:name w:val="_Style 21"/>
    <w:basedOn w:val="1"/>
    <w:uiPriority w:val="0"/>
    <w:rPr>
      <w:szCs w:val="20"/>
    </w:rPr>
  </w:style>
  <w:style w:type="paragraph" w:customStyle="1" w:styleId="53">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54">
    <w:name w:val="Char Char Char Char"/>
    <w:basedOn w:val="1"/>
    <w:qFormat/>
    <w:uiPriority w:val="0"/>
    <w:rPr>
      <w:rFonts w:ascii="Tahoma" w:hAnsi="Tahoma"/>
      <w:sz w:val="24"/>
      <w:szCs w:val="20"/>
    </w:rPr>
  </w:style>
  <w:style w:type="paragraph" w:customStyle="1" w:styleId="55">
    <w:name w:val="默认段落字体 Para Char Char"/>
    <w:basedOn w:val="1"/>
    <w:uiPriority w:val="0"/>
    <w:pPr>
      <w:widowControl/>
      <w:snapToGrid w:val="0"/>
      <w:ind w:left="-3" w:right="-28" w:rightChars="-10"/>
    </w:pPr>
    <w:rPr>
      <w:rFonts w:ascii="Tahoma" w:hAnsi="Tahoma" w:cs="Tahoma"/>
      <w:sz w:val="24"/>
    </w:rPr>
  </w:style>
  <w:style w:type="paragraph" w:customStyle="1" w:styleId="56">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7">
    <w:name w:val="Char"/>
    <w:basedOn w:val="1"/>
    <w:qFormat/>
    <w:uiPriority w:val="0"/>
    <w:pPr>
      <w:spacing w:line="360" w:lineRule="auto"/>
      <w:ind w:firstLine="480" w:firstLineChars="200"/>
    </w:pPr>
    <w:rPr>
      <w:rFonts w:ascii="宋体" w:hAnsi="宋体" w:eastAsia="楷体_GB2312"/>
      <w:sz w:val="24"/>
      <w:szCs w:val="21"/>
    </w:rPr>
  </w:style>
  <w:style w:type="paragraph" w:customStyle="1" w:styleId="58">
    <w:name w:val="正文 A"/>
    <w:uiPriority w:val="0"/>
    <w:rPr>
      <w:rFonts w:ascii="Times New Roman" w:hAnsi="Times New Roman" w:eastAsia="Calibri" w:cs="Calibri"/>
      <w:color w:val="000000"/>
      <w:sz w:val="24"/>
      <w:szCs w:val="24"/>
      <w:u w:color="000000"/>
      <w:lang w:val="en-US" w:eastAsia="zh-CN" w:bidi="ar-SA"/>
    </w:rPr>
  </w:style>
  <w:style w:type="paragraph" w:customStyle="1" w:styleId="59">
    <w:name w:val="6 Char Char Char Char Char Char Char1 Char Char Char Char Char Char Char Char Char Char Char Char Char Char Char"/>
    <w:basedOn w:val="1"/>
    <w:qFormat/>
    <w:uiPriority w:val="0"/>
    <w:pPr>
      <w:widowControl/>
      <w:spacing w:after="160" w:line="240" w:lineRule="exact"/>
      <w:jc w:val="left"/>
    </w:pPr>
    <w:rPr>
      <w:szCs w:val="20"/>
    </w:rPr>
  </w:style>
  <w:style w:type="paragraph" w:styleId="6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31121</Words>
  <Characters>5428</Characters>
  <Lines>45</Lines>
  <Paragraphs>72</Paragraphs>
  <TotalTime>75</TotalTime>
  <ScaleCrop>false</ScaleCrop>
  <LinksUpToDate>false</LinksUpToDate>
  <CharactersWithSpaces>36477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2020-03-16T06:40:00Z</dcterms:created>
  <dc:creator>luos</dc:creator>
  <dc:description>广州万安</dc:description>
  <cp:lastModifiedBy>相宜</cp:lastModifiedBy>
  <cp:lastPrinted>2020-03-16T07:24:00Z</cp:lastPrinted>
  <dcterms:modified xsi:type="dcterms:W3CDTF">2020-03-20T01:32:08Z</dcterms:modified>
  <dc:title>经营权</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